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DB" w:rsidRPr="00532DDB" w:rsidRDefault="00532DDB" w:rsidP="00532DDB">
      <w:pPr>
        <w:spacing w:after="0" w:line="240" w:lineRule="auto"/>
        <w:rPr>
          <w:rFonts w:ascii="Arial" w:eastAsia="Times New Roman" w:hAnsi="Arial" w:cs="Arial"/>
          <w:b/>
          <w:smallCaps/>
          <w:sz w:val="28"/>
          <w:szCs w:val="24"/>
        </w:rPr>
      </w:pPr>
      <w:r w:rsidRPr="00532DDB">
        <w:rPr>
          <w:rFonts w:ascii="Arial" w:eastAsia="Times New Roman" w:hAnsi="Arial" w:cs="Arial"/>
          <w:b/>
          <w:smallCaps/>
          <w:sz w:val="28"/>
          <w:szCs w:val="24"/>
        </w:rPr>
        <w:t>COORDINADOR DE CENTROS DE DESARROLLO COMUNITARIO</w:t>
      </w:r>
    </w:p>
    <w:p w:rsidR="004606B8" w:rsidRPr="004606B8" w:rsidRDefault="00676674" w:rsidP="004606B8">
      <w:pPr>
        <w:spacing w:after="0" w:line="240" w:lineRule="auto"/>
        <w:rPr>
          <w:rFonts w:ascii="Arial" w:eastAsia="Calibri" w:hAnsi="Arial" w:cs="Arial"/>
          <w:b/>
          <w:smallCaps/>
          <w:sz w:val="24"/>
          <w:szCs w:val="24"/>
        </w:rPr>
      </w:pPr>
      <w:bookmarkStart w:id="0" w:name="_GoBack"/>
      <w:bookmarkEnd w:id="0"/>
      <w:r w:rsidRPr="00676674">
        <w:rPr>
          <w:rFonts w:ascii="Arial" w:eastAsia="Times New Roman" w:hAnsi="Arial" w:cs="Arial"/>
          <w:smallCaps/>
          <w:sz w:val="24"/>
          <w:szCs w:val="24"/>
        </w:rPr>
        <w:br/>
      </w:r>
      <w:r w:rsidR="004606B8" w:rsidRPr="004606B8">
        <w:rPr>
          <w:rFonts w:ascii="Arial" w:eastAsia="Calibri" w:hAnsi="Arial" w:cs="Arial"/>
          <w:b/>
          <w:smallCaps/>
          <w:sz w:val="24"/>
          <w:szCs w:val="24"/>
        </w:rPr>
        <w:t>Perfil del Puesto</w:t>
      </w:r>
    </w:p>
    <w:p w:rsidR="004606B8" w:rsidRPr="004606B8" w:rsidRDefault="004606B8" w:rsidP="004606B8">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62725D" w:rsidRPr="004606B8" w:rsidRDefault="0062725D" w:rsidP="0062725D">
      <w:pPr>
        <w:spacing w:after="0" w:line="240" w:lineRule="auto"/>
        <w:rPr>
          <w:rFonts w:ascii="Arial" w:eastAsia="Calibri" w:hAnsi="Arial" w:cs="Arial"/>
          <w:b/>
          <w:smallCaps/>
          <w:sz w:val="24"/>
          <w:szCs w:val="24"/>
        </w:rPr>
      </w:pPr>
    </w:p>
    <w:p w:rsidR="00072F96" w:rsidRPr="00072F96" w:rsidRDefault="00072F96" w:rsidP="00072F96">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lastRenderedPageBreak/>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 Perfil escolar</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V. Buena redacción y ortografía.</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B. Perfil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Modalidad de atención Presencial: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3. Apego a reglas y procedimientos;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Modalidad de Atención Digital: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Excelente redacción y ortografía;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Modalidad de Atención Telefónica: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Tono de voz con timbre agradable, y</w:t>
      </w:r>
    </w:p>
    <w:p w:rsidR="00072F96" w:rsidRDefault="00072F96" w:rsidP="00072F96">
      <w:pPr>
        <w:pStyle w:val="Sinespaciado"/>
        <w:jc w:val="both"/>
        <w:rPr>
          <w:rFonts w:ascii="Arial" w:hAnsi="Arial" w:cs="Arial"/>
          <w:sz w:val="24"/>
          <w:szCs w:val="24"/>
        </w:rPr>
      </w:pPr>
    </w:p>
    <w:p w:rsidR="0062725D" w:rsidRPr="00072F96" w:rsidRDefault="00072F96" w:rsidP="00072F96">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p>
    <w:sectPr w:rsidR="0062725D" w:rsidRPr="00072F9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1F5" w:rsidRDefault="000F71F5" w:rsidP="00EF0F92">
      <w:pPr>
        <w:spacing w:after="0" w:line="240" w:lineRule="auto"/>
      </w:pPr>
      <w:r>
        <w:separator/>
      </w:r>
    </w:p>
  </w:endnote>
  <w:endnote w:type="continuationSeparator" w:id="0">
    <w:p w:rsidR="000F71F5" w:rsidRDefault="000F71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32DD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0421F47" wp14:editId="73B6BB9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32DD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1F5" w:rsidRDefault="000F71F5" w:rsidP="00EF0F92">
      <w:pPr>
        <w:spacing w:after="0" w:line="240" w:lineRule="auto"/>
      </w:pPr>
      <w:r>
        <w:separator/>
      </w:r>
    </w:p>
  </w:footnote>
  <w:footnote w:type="continuationSeparator" w:id="0">
    <w:p w:rsidR="000F71F5" w:rsidRDefault="000F71F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126FC754" wp14:editId="653EAB6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2F96"/>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1F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2C0C"/>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6B8"/>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DDB"/>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25D"/>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517"/>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D5B"/>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BF3"/>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A7EB2"/>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322"/>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6F2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A9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93558181">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585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2726-F9F0-4CDB-B008-C4946BCB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1612</Words>
  <Characters>8872</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2021-09-21T16:23:00Z</dcterms:created>
  <dcterms:modified xsi:type="dcterms:W3CDTF">2021-09-21T16:23:00Z</dcterms:modified>
</cp:coreProperties>
</file>