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D61" w:rsidRPr="00CA3D61" w:rsidRDefault="00CA3D61" w:rsidP="00CA3D61">
      <w:pPr>
        <w:spacing w:after="0" w:line="240" w:lineRule="auto"/>
        <w:rPr>
          <w:rFonts w:ascii="Arial" w:eastAsia="Times New Roman" w:hAnsi="Arial" w:cs="Arial"/>
          <w:b/>
          <w:smallCaps/>
          <w:sz w:val="28"/>
          <w:szCs w:val="28"/>
        </w:rPr>
      </w:pPr>
      <w:r w:rsidRPr="00CA3D61">
        <w:rPr>
          <w:rFonts w:ascii="Arial" w:eastAsia="Times New Roman" w:hAnsi="Arial" w:cs="Arial"/>
          <w:b/>
          <w:smallCaps/>
          <w:sz w:val="28"/>
          <w:szCs w:val="28"/>
        </w:rPr>
        <w:t>DIRECTOR GENERAL DE OBRAS Y DESARROLLO URBANO</w:t>
      </w:r>
    </w:p>
    <w:p w:rsidR="00243369" w:rsidRPr="00765140" w:rsidRDefault="00243369" w:rsidP="00ED479A">
      <w:pPr>
        <w:spacing w:after="0" w:line="240" w:lineRule="auto"/>
        <w:rPr>
          <w:rFonts w:ascii="Arial" w:eastAsia="Times New Roman" w:hAnsi="Arial" w:cs="Arial"/>
          <w:smallCaps/>
          <w:sz w:val="24"/>
          <w:szCs w:val="24"/>
        </w:rPr>
      </w:pPr>
      <w:bookmarkStart w:id="0" w:name="_GoBack"/>
      <w:bookmarkEnd w:id="0"/>
    </w:p>
    <w:p w:rsidR="00ED479A" w:rsidRDefault="00ED479A" w:rsidP="003630B5">
      <w:pPr>
        <w:spacing w:after="0" w:line="240" w:lineRule="auto"/>
        <w:jc w:val="both"/>
        <w:rPr>
          <w:rFonts w:ascii="Arial" w:eastAsia="Times New Roman" w:hAnsi="Arial" w:cs="Arial"/>
          <w:smallCaps/>
          <w:sz w:val="24"/>
          <w:szCs w:val="24"/>
        </w:rPr>
      </w:pPr>
      <w:r w:rsidRPr="003630B5">
        <w:rPr>
          <w:rFonts w:ascii="Arial" w:eastAsia="Times New Roman" w:hAnsi="Arial" w:cs="Arial"/>
          <w:smallCaps/>
          <w:sz w:val="24"/>
          <w:szCs w:val="24"/>
        </w:rPr>
        <w:t>Perfil del Puesto</w:t>
      </w:r>
    </w:p>
    <w:p w:rsidR="0034425C" w:rsidRPr="003630B5" w:rsidRDefault="0034425C" w:rsidP="003630B5">
      <w:pPr>
        <w:spacing w:after="0" w:line="240" w:lineRule="auto"/>
        <w:jc w:val="both"/>
        <w:rPr>
          <w:rFonts w:ascii="Arial" w:eastAsia="Times New Roman"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c) Se deroga. </w:t>
      </w:r>
    </w:p>
    <w:p w:rsidR="001216C3" w:rsidRDefault="001216C3" w:rsidP="0034425C">
      <w:pPr>
        <w:jc w:val="both"/>
        <w:rPr>
          <w:rFonts w:ascii="Arial" w:eastAsia="Times New Roman" w:hAnsi="Arial" w:cs="Arial"/>
          <w:smallCaps/>
          <w:sz w:val="24"/>
          <w:szCs w:val="24"/>
        </w:rPr>
      </w:pPr>
    </w:p>
    <w:p w:rsidR="001216C3" w:rsidRDefault="001216C3" w:rsidP="0034425C">
      <w:pPr>
        <w:jc w:val="both"/>
        <w:rPr>
          <w:rFonts w:ascii="Arial" w:eastAsia="Times New Roman" w:hAnsi="Arial" w:cs="Arial"/>
          <w:smallCaps/>
          <w:sz w:val="24"/>
          <w:szCs w:val="24"/>
        </w:rPr>
      </w:pPr>
    </w:p>
    <w:p w:rsidR="001216C3" w:rsidRPr="003630B5" w:rsidRDefault="001216C3" w:rsidP="0034425C">
      <w:pPr>
        <w:jc w:val="both"/>
        <w:rPr>
          <w:rFonts w:ascii="Arial" w:eastAsia="Times New Roman" w:hAnsi="Arial" w:cs="Arial"/>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rPr>
      </w:pPr>
    </w:p>
    <w:p w:rsidR="001216C3" w:rsidRPr="003630B5" w:rsidRDefault="001216C3" w:rsidP="003630B5">
      <w:pPr>
        <w:spacing w:after="0" w:line="240" w:lineRule="auto"/>
        <w:jc w:val="both"/>
        <w:rPr>
          <w:rFonts w:ascii="Arial" w:eastAsia="Times New Roman" w:hAnsi="Arial" w:cs="Arial"/>
          <w:smallCaps/>
          <w:sz w:val="24"/>
          <w:szCs w:val="24"/>
        </w:rPr>
      </w:pPr>
    </w:p>
    <w:sectPr w:rsidR="001216C3" w:rsidRPr="003630B5"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4D3" w:rsidRDefault="001E64D3" w:rsidP="00EF0F92">
      <w:pPr>
        <w:spacing w:after="0" w:line="240" w:lineRule="auto"/>
      </w:pPr>
      <w:r>
        <w:separator/>
      </w:r>
    </w:p>
  </w:endnote>
  <w:endnote w:type="continuationSeparator" w:id="0">
    <w:p w:rsidR="001E64D3" w:rsidRDefault="001E64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A3D6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B5D05D3" wp14:editId="0AB517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A3D61">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4D3" w:rsidRDefault="001E64D3" w:rsidP="00EF0F92">
      <w:pPr>
        <w:spacing w:after="0" w:line="240" w:lineRule="auto"/>
      </w:pPr>
      <w:r>
        <w:separator/>
      </w:r>
    </w:p>
  </w:footnote>
  <w:footnote w:type="continuationSeparator" w:id="0">
    <w:p w:rsidR="001E64D3" w:rsidRDefault="001E64D3"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7EDC1B99" wp14:editId="5D1BB78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D61"/>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15E5D438-C7B1-4B09-94CA-DC0B0759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69271762">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376615653">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D0316-CB06-4FF7-A97A-3799755A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7747</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2019-04-03T15:05:00Z</cp:lastPrinted>
  <dcterms:created xsi:type="dcterms:W3CDTF">2021-09-20T20:19:00Z</dcterms:created>
  <dcterms:modified xsi:type="dcterms:W3CDTF">2021-09-20T20:19:00Z</dcterms:modified>
</cp:coreProperties>
</file>