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DF3" w:rsidRPr="007E4DF3" w:rsidRDefault="007E4DF3" w:rsidP="007E4DF3">
      <w:pPr>
        <w:spacing w:after="0" w:line="240" w:lineRule="auto"/>
        <w:rPr>
          <w:rFonts w:ascii="Arial" w:eastAsia="Times New Roman" w:hAnsi="Arial" w:cs="Arial"/>
          <w:b/>
          <w:smallCaps/>
          <w:sz w:val="28"/>
          <w:szCs w:val="28"/>
        </w:rPr>
      </w:pPr>
      <w:r w:rsidRPr="007E4DF3">
        <w:rPr>
          <w:rFonts w:ascii="Arial" w:eastAsia="Times New Roman" w:hAnsi="Arial" w:cs="Arial"/>
          <w:b/>
          <w:smallCaps/>
          <w:sz w:val="28"/>
          <w:szCs w:val="28"/>
        </w:rPr>
        <w:t>DIRECTOR GENERAL DE PARTICIPACION CIUDADANA Y ZONAS TERRITORIALES</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E4DF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E4DF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4DF3"/>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8CD3554A-806A-447D-8182-2B0612D5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1682348">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09025862">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6AAD-9A12-471D-9417-8D3534FA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1411</Words>
  <Characters>7764</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2021-09-20T20:14:00Z</dcterms:created>
  <dcterms:modified xsi:type="dcterms:W3CDTF">2021-09-20T20:14:00Z</dcterms:modified>
</cp:coreProperties>
</file>