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C7F" w:rsidRPr="00DD0C7F" w:rsidRDefault="00DD0C7F" w:rsidP="00DD0C7F">
      <w:pPr>
        <w:spacing w:after="0" w:line="240" w:lineRule="auto"/>
        <w:rPr>
          <w:rFonts w:ascii="Arial" w:eastAsia="Times New Roman" w:hAnsi="Arial" w:cs="Arial"/>
          <w:b/>
          <w:smallCaps/>
          <w:sz w:val="28"/>
          <w:szCs w:val="28"/>
        </w:rPr>
      </w:pPr>
      <w:r w:rsidRPr="00DD0C7F">
        <w:rPr>
          <w:rFonts w:ascii="Arial" w:eastAsia="Times New Roman" w:hAnsi="Arial" w:cs="Arial"/>
          <w:b/>
          <w:smallCaps/>
          <w:sz w:val="28"/>
          <w:szCs w:val="28"/>
        </w:rPr>
        <w:t>DIRECTOR GENERAL DE SUSTENTABILIDAD Y CAMBIO CLIMATICO</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DD0C7F"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DD0C7F">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C7F"/>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02303039">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51930232">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D8FB6-137D-450B-80A7-C99CE7B51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7755</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2021-09-20T18:58:00Z</dcterms:created>
  <dcterms:modified xsi:type="dcterms:W3CDTF">2021-09-20T18:58:00Z</dcterms:modified>
</cp:coreProperties>
</file>