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C3A" w:rsidRPr="0005745F" w:rsidRDefault="00020C3A" w:rsidP="00424406">
      <w:pPr>
        <w:shd w:val="clear" w:color="auto" w:fill="FDFCFC"/>
        <w:spacing w:after="0" w:line="240" w:lineRule="auto"/>
        <w:rPr>
          <w:rFonts w:ascii="Arial" w:eastAsia="Times New Roman" w:hAnsi="Arial" w:cs="Arial"/>
          <w:color w:val="636262"/>
          <w:sz w:val="28"/>
          <w:szCs w:val="28"/>
        </w:rPr>
      </w:pPr>
      <w:bookmarkStart w:id="0" w:name="_GoBack"/>
      <w:bookmarkEnd w:id="0"/>
      <w:r w:rsidRPr="0005745F">
        <w:rPr>
          <w:rFonts w:ascii="Arial" w:eastAsia="Times New Roman" w:hAnsi="Arial" w:cs="Arial"/>
          <w:b/>
          <w:bCs/>
          <w:caps/>
          <w:color w:val="636262"/>
          <w:sz w:val="28"/>
          <w:szCs w:val="28"/>
        </w:rPr>
        <w:t>Direc</w:t>
      </w:r>
      <w:r w:rsidR="00F76A88" w:rsidRPr="0005745F">
        <w:rPr>
          <w:rFonts w:ascii="Arial" w:eastAsia="Times New Roman" w:hAnsi="Arial" w:cs="Arial"/>
          <w:b/>
          <w:bCs/>
          <w:caps/>
          <w:color w:val="636262"/>
          <w:sz w:val="28"/>
          <w:szCs w:val="28"/>
        </w:rPr>
        <w:t>ción</w:t>
      </w:r>
      <w:r w:rsidRPr="0005745F">
        <w:rPr>
          <w:rFonts w:ascii="Arial" w:eastAsia="Times New Roman" w:hAnsi="Arial" w:cs="Arial"/>
          <w:b/>
          <w:bCs/>
          <w:caps/>
          <w:color w:val="636262"/>
          <w:sz w:val="28"/>
          <w:szCs w:val="28"/>
        </w:rPr>
        <w:t xml:space="preserve"> de </w:t>
      </w:r>
      <w:r w:rsidR="00424406" w:rsidRPr="0005745F">
        <w:rPr>
          <w:rFonts w:ascii="Arial" w:eastAsia="Times New Roman" w:hAnsi="Arial" w:cs="Arial"/>
          <w:b/>
          <w:bCs/>
          <w:caps/>
          <w:color w:val="636262"/>
          <w:sz w:val="28"/>
          <w:szCs w:val="28"/>
        </w:rPr>
        <w:t xml:space="preserve">desarrollo </w:t>
      </w:r>
      <w:r w:rsidR="00F76A88" w:rsidRPr="0005745F">
        <w:rPr>
          <w:rFonts w:ascii="Arial" w:eastAsia="Times New Roman" w:hAnsi="Arial" w:cs="Arial"/>
          <w:b/>
          <w:bCs/>
          <w:caps/>
          <w:color w:val="636262"/>
          <w:sz w:val="28"/>
          <w:szCs w:val="28"/>
        </w:rPr>
        <w:t>de la comunidad e infraestructura</w:t>
      </w:r>
    </w:p>
    <w:p w:rsidR="0005745F" w:rsidRPr="00890C74" w:rsidRDefault="00020C3A" w:rsidP="0005745F">
      <w:pPr>
        <w:spacing w:after="0" w:line="240" w:lineRule="auto"/>
        <w:rPr>
          <w:rFonts w:ascii="Arial" w:eastAsia="Times New Roman" w:hAnsi="Arial" w:cs="Arial"/>
          <w:b/>
          <w:smallCaps/>
          <w:sz w:val="24"/>
          <w:szCs w:val="24"/>
        </w:rPr>
      </w:pPr>
      <w:r w:rsidRPr="0005745F">
        <w:rPr>
          <w:rFonts w:ascii="Arial" w:eastAsia="Times New Roman" w:hAnsi="Arial" w:cs="Arial"/>
          <w:color w:val="636262"/>
          <w:sz w:val="28"/>
          <w:szCs w:val="28"/>
        </w:rPr>
        <w:br/>
      </w:r>
      <w:r w:rsidR="0005745F" w:rsidRPr="00890C74">
        <w:rPr>
          <w:rFonts w:ascii="Arial" w:eastAsia="Times New Roman" w:hAnsi="Arial" w:cs="Arial"/>
          <w:b/>
          <w:smallCaps/>
          <w:sz w:val="24"/>
          <w:szCs w:val="24"/>
        </w:rPr>
        <w:t>Perfil del Puesto</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05745F" w:rsidRPr="00A95E1B" w:rsidRDefault="0005745F" w:rsidP="0005745F">
      <w:pPr>
        <w:spacing w:after="0" w:line="240" w:lineRule="auto"/>
        <w:rPr>
          <w:rFonts w:ascii="Arial" w:eastAsia="Times New Roman" w:hAnsi="Arial" w:cs="Arial"/>
          <w:smallCaps/>
          <w:sz w:val="24"/>
          <w:szCs w:val="24"/>
        </w:rPr>
      </w:pPr>
    </w:p>
    <w:p w:rsidR="0005745F"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5745F" w:rsidRDefault="0005745F" w:rsidP="0005745F">
      <w:pPr>
        <w:spacing w:after="0" w:line="240" w:lineRule="auto"/>
        <w:rPr>
          <w:rFonts w:ascii="Arial" w:eastAsia="Times New Roman" w:hAnsi="Arial" w:cs="Arial"/>
          <w:smallCaps/>
          <w:sz w:val="24"/>
          <w:szCs w:val="24"/>
        </w:rPr>
      </w:pPr>
    </w:p>
    <w:p w:rsidR="0005745F" w:rsidRDefault="0005745F" w:rsidP="0005745F">
      <w:pPr>
        <w:spacing w:after="0" w:line="240" w:lineRule="auto"/>
        <w:rPr>
          <w:rFonts w:ascii="Arial" w:eastAsia="Times New Roman" w:hAnsi="Arial" w:cs="Arial"/>
          <w:smallCaps/>
          <w:sz w:val="24"/>
          <w:szCs w:val="24"/>
        </w:rPr>
      </w:pPr>
    </w:p>
    <w:p w:rsidR="0005745F" w:rsidRDefault="0005745F" w:rsidP="0005745F">
      <w:pPr>
        <w:spacing w:after="0" w:line="240" w:lineRule="auto"/>
        <w:rPr>
          <w:rFonts w:ascii="Arial" w:eastAsia="Times New Roman" w:hAnsi="Arial" w:cs="Arial"/>
          <w:smallCaps/>
          <w:sz w:val="24"/>
          <w:szCs w:val="24"/>
        </w:rPr>
      </w:pPr>
    </w:p>
    <w:p w:rsidR="0005745F"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p>
    <w:p w:rsidR="0005745F"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5745F" w:rsidRPr="00A95E1B" w:rsidRDefault="0005745F" w:rsidP="0005745F">
      <w:pPr>
        <w:spacing w:after="0" w:line="240" w:lineRule="auto"/>
        <w:rPr>
          <w:rFonts w:ascii="Arial" w:eastAsia="Times New Roman" w:hAnsi="Arial" w:cs="Arial"/>
          <w:smallCaps/>
          <w:sz w:val="24"/>
          <w:szCs w:val="24"/>
        </w:rPr>
      </w:pPr>
    </w:p>
    <w:p w:rsidR="0005745F" w:rsidRPr="00A95E1B" w:rsidRDefault="0005745F" w:rsidP="0005745F">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05745F" w:rsidRPr="00A95E1B" w:rsidRDefault="0005745F" w:rsidP="0005745F">
      <w:pPr>
        <w:spacing w:after="0" w:line="240" w:lineRule="auto"/>
        <w:rPr>
          <w:rFonts w:ascii="Arial" w:eastAsia="Times New Roman" w:hAnsi="Arial" w:cs="Arial"/>
          <w:smallCaps/>
          <w:sz w:val="24"/>
          <w:szCs w:val="24"/>
        </w:rPr>
      </w:pPr>
    </w:p>
    <w:p w:rsidR="0005745F" w:rsidRPr="003D52F0" w:rsidRDefault="0005745F" w:rsidP="0005745F">
      <w:pPr>
        <w:spacing w:after="0" w:line="240" w:lineRule="auto"/>
      </w:pPr>
    </w:p>
    <w:p w:rsidR="00020C3A" w:rsidRPr="00020C3A" w:rsidRDefault="00020C3A" w:rsidP="0005745F">
      <w:pPr>
        <w:spacing w:after="0" w:line="240" w:lineRule="auto"/>
        <w:rPr>
          <w:rFonts w:ascii="Calibri" w:eastAsia="Calibri" w:hAnsi="Calibri" w:cs="Times New Roman"/>
        </w:rPr>
      </w:pPr>
    </w:p>
    <w:p w:rsidR="00F30734" w:rsidRPr="00020C3A" w:rsidRDefault="00F30734" w:rsidP="00020C3A"/>
    <w:sectPr w:rsidR="00F30734" w:rsidRPr="00020C3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32A" w:rsidRDefault="00A6232A" w:rsidP="00EF0F92">
      <w:pPr>
        <w:spacing w:after="0" w:line="240" w:lineRule="auto"/>
      </w:pPr>
      <w:r>
        <w:separator/>
      </w:r>
    </w:p>
  </w:endnote>
  <w:endnote w:type="continuationSeparator" w:id="0">
    <w:p w:rsidR="00A6232A" w:rsidRDefault="00A6232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060F12"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D1513">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D1513">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060F12">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32A" w:rsidRDefault="00A6232A" w:rsidP="00EF0F92">
      <w:pPr>
        <w:spacing w:after="0" w:line="240" w:lineRule="auto"/>
      </w:pPr>
      <w:r>
        <w:separator/>
      </w:r>
    </w:p>
  </w:footnote>
  <w:footnote w:type="continuationSeparator" w:id="0">
    <w:p w:rsidR="00A6232A" w:rsidRDefault="00A6232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0C3A"/>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5745F"/>
    <w:rsid w:val="00060225"/>
    <w:rsid w:val="000604FF"/>
    <w:rsid w:val="00060F12"/>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6F31"/>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314D"/>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406"/>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3B70"/>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6872"/>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4758"/>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513"/>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32A"/>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286C"/>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6A8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58659029">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F947-4FB5-4AA0-8822-BCE0C59B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6399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2021-09-20T17:54:00Z</dcterms:created>
  <dcterms:modified xsi:type="dcterms:W3CDTF">2021-09-20T17:54:00Z</dcterms:modified>
</cp:coreProperties>
</file>