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45C" w:rsidRPr="009E145C" w:rsidRDefault="009E145C" w:rsidP="009E145C">
      <w:pPr>
        <w:spacing w:after="0" w:line="240" w:lineRule="auto"/>
        <w:rPr>
          <w:rFonts w:ascii="Arial" w:eastAsia="Times New Roman" w:hAnsi="Arial" w:cs="Arial"/>
          <w:b/>
          <w:smallCaps/>
          <w:sz w:val="28"/>
          <w:szCs w:val="28"/>
        </w:rPr>
      </w:pPr>
      <w:r w:rsidRPr="009E145C">
        <w:rPr>
          <w:rFonts w:ascii="Arial" w:eastAsia="Times New Roman" w:hAnsi="Arial" w:cs="Arial"/>
          <w:b/>
          <w:smallCaps/>
          <w:sz w:val="28"/>
          <w:szCs w:val="28"/>
        </w:rPr>
        <w:t>DIRECTOR DE EQUIDAD Y ATENCION A GRUPOS VULNERABLES</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E145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E145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145C"/>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301">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45531420">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F7810-6FB8-44BB-B6A1-DC5B8D315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7752</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2021-09-21T16:14:00Z</dcterms:created>
  <dcterms:modified xsi:type="dcterms:W3CDTF">2021-09-21T16:14:00Z</dcterms:modified>
</cp:coreProperties>
</file>