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38" w:rsidRPr="00E84438" w:rsidRDefault="00E84438" w:rsidP="00E84438">
      <w:pPr>
        <w:spacing w:after="0" w:line="240" w:lineRule="auto"/>
        <w:rPr>
          <w:rFonts w:ascii="Arial" w:eastAsia="Times New Roman" w:hAnsi="Arial" w:cs="Arial"/>
          <w:b/>
          <w:smallCaps/>
          <w:sz w:val="28"/>
          <w:szCs w:val="28"/>
        </w:rPr>
      </w:pPr>
      <w:r w:rsidRPr="00E84438">
        <w:rPr>
          <w:rFonts w:ascii="Arial" w:eastAsia="Times New Roman" w:hAnsi="Arial" w:cs="Arial"/>
          <w:b/>
          <w:smallCaps/>
          <w:sz w:val="28"/>
          <w:szCs w:val="28"/>
        </w:rPr>
        <w:t>DIRECTOR DE RECURSOS MATERIALES, ABASTECIMIENTOS Y SERVICIOS</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8443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8443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3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6124706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271530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FCA55-16E4-4471-A983-3F450A70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1410</Words>
  <Characters>7760</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2021-09-21T18:05:00Z</dcterms:created>
  <dcterms:modified xsi:type="dcterms:W3CDTF">2021-09-21T18:05:00Z</dcterms:modified>
</cp:coreProperties>
</file>