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422" w:rsidRPr="00671422" w:rsidRDefault="00671422" w:rsidP="00671422">
      <w:pPr>
        <w:shd w:val="clear" w:color="auto" w:fill="FDFCFC"/>
        <w:spacing w:after="0" w:line="240" w:lineRule="auto"/>
        <w:rPr>
          <w:rFonts w:ascii="Arial" w:eastAsia="Times New Roman" w:hAnsi="Arial" w:cs="Arial"/>
          <w:b/>
          <w:bCs/>
          <w:caps/>
          <w:sz w:val="28"/>
          <w:szCs w:val="28"/>
        </w:rPr>
      </w:pPr>
      <w:r w:rsidRPr="00671422">
        <w:rPr>
          <w:rFonts w:ascii="Arial" w:eastAsia="Times New Roman" w:hAnsi="Arial" w:cs="Arial"/>
          <w:b/>
          <w:bCs/>
          <w:caps/>
          <w:sz w:val="28"/>
          <w:szCs w:val="28"/>
        </w:rPr>
        <w:t>DIRECTORA DE VINCULACION VECINAL Y REPRESENTACIONES CIUDADANAS</w:t>
      </w:r>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rPr>
      </w:pPr>
      <w:bookmarkStart w:id="0" w:name="_GoBack"/>
      <w:bookmarkEnd w:id="0"/>
    </w:p>
    <w:p w:rsidR="002413B8" w:rsidRPr="00890C74" w:rsidRDefault="002413B8" w:rsidP="002413B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7142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7142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422"/>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332EAB2"/>
  <w15:docId w15:val="{DAB7D26F-B2B9-42BC-B1BB-4845EFED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43379859">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55001019">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1116-9E24-40A5-B905-FFCEAA25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1381</Words>
  <Characters>7599</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2021-09-20T20:10:00Z</dcterms:created>
  <dcterms:modified xsi:type="dcterms:W3CDTF">2021-09-20T20:10:00Z</dcterms:modified>
</cp:coreProperties>
</file>