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10" w:rsidRPr="00006610" w:rsidRDefault="00006610" w:rsidP="00006610">
      <w:pPr>
        <w:spacing w:after="0" w:line="240" w:lineRule="auto"/>
        <w:rPr>
          <w:rFonts w:ascii="Arial" w:eastAsia="Times New Roman" w:hAnsi="Arial" w:cs="Arial"/>
          <w:smallCaps/>
          <w:sz w:val="24"/>
          <w:szCs w:val="24"/>
        </w:rPr>
      </w:pPr>
    </w:p>
    <w:p w:rsidR="00006610" w:rsidRPr="00006610" w:rsidRDefault="00006610" w:rsidP="00006610">
      <w:pPr>
        <w:shd w:val="clear" w:color="auto" w:fill="FDFCFC"/>
        <w:spacing w:before="100" w:beforeAutospacing="1" w:after="225" w:line="240" w:lineRule="auto"/>
        <w:jc w:val="both"/>
        <w:rPr>
          <w:rFonts w:ascii="Arial" w:eastAsia="Times New Roman" w:hAnsi="Arial" w:cs="Arial"/>
          <w:b/>
          <w:smallCaps/>
          <w:sz w:val="28"/>
          <w:szCs w:val="24"/>
        </w:rPr>
      </w:pPr>
      <w:r w:rsidRPr="00006610">
        <w:rPr>
          <w:rFonts w:ascii="Arial" w:eastAsia="Times New Roman" w:hAnsi="Arial" w:cs="Arial"/>
          <w:b/>
          <w:smallCaps/>
          <w:sz w:val="28"/>
          <w:szCs w:val="24"/>
        </w:rPr>
        <w:t xml:space="preserve">Líder Coordinador De Proyecto De Ventanilla Única </w:t>
      </w:r>
      <w:r w:rsidR="000C78FC">
        <w:rPr>
          <w:rFonts w:ascii="Arial" w:eastAsia="Times New Roman" w:hAnsi="Arial" w:cs="Arial"/>
          <w:b/>
          <w:smallCaps/>
          <w:sz w:val="28"/>
          <w:szCs w:val="24"/>
        </w:rPr>
        <w:t>B</w:t>
      </w:r>
      <w:bookmarkStart w:id="0" w:name="_GoBack"/>
      <w:bookmarkEnd w:id="0"/>
    </w:p>
    <w:p w:rsidR="00006610" w:rsidRPr="00006610" w:rsidRDefault="00006610" w:rsidP="00006610">
      <w:pPr>
        <w:spacing w:after="0" w:line="240" w:lineRule="auto"/>
        <w:rPr>
          <w:rFonts w:ascii="Arial" w:eastAsia="Calibri" w:hAnsi="Arial" w:cs="Arial"/>
          <w:b/>
          <w:smallCaps/>
          <w:sz w:val="24"/>
          <w:szCs w:val="24"/>
        </w:rPr>
      </w:pPr>
      <w:r w:rsidRPr="00006610">
        <w:rPr>
          <w:rFonts w:ascii="Arial" w:eastAsia="Times New Roman" w:hAnsi="Arial" w:cs="Arial"/>
          <w:smallCaps/>
          <w:sz w:val="24"/>
          <w:szCs w:val="24"/>
        </w:rPr>
        <w:br/>
      </w:r>
      <w:r w:rsidRPr="00006610">
        <w:rPr>
          <w:rFonts w:ascii="Arial" w:eastAsia="Calibri" w:hAnsi="Arial" w:cs="Arial"/>
          <w:b/>
          <w:smallCaps/>
          <w:sz w:val="24"/>
          <w:szCs w:val="24"/>
        </w:rPr>
        <w:t>Perfil del Puesto</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rPr>
          <w:rFonts w:ascii="Arial" w:eastAsia="Calibri" w:hAnsi="Arial" w:cs="Arial"/>
          <w:b/>
          <w:smallCaps/>
          <w:sz w:val="24"/>
          <w:szCs w:val="24"/>
        </w:rPr>
      </w:pPr>
      <w:r w:rsidRPr="00006610">
        <w:rPr>
          <w:rFonts w:ascii="Arial" w:eastAsia="Calibri" w:hAnsi="Arial" w:cs="Arial"/>
          <w:b/>
          <w:smallCaps/>
          <w:sz w:val="24"/>
          <w:szCs w:val="24"/>
        </w:rPr>
        <w:t>CONSTITUCIÓN POLÍTICA DE LOS ESTADOS UNIDOS MEXICANOS</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Si alguno de los miembros dejare de desempeñar su cargo, será sustituido por su suplente, o se procederá según lo disponga la ley.</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006610">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rPr>
          <w:rFonts w:ascii="Arial" w:eastAsia="Calibri" w:hAnsi="Arial" w:cs="Arial"/>
          <w:b/>
          <w:smallCaps/>
          <w:sz w:val="24"/>
          <w:szCs w:val="24"/>
        </w:rPr>
      </w:pPr>
      <w:r w:rsidRPr="00006610">
        <w:rPr>
          <w:rFonts w:ascii="Arial" w:eastAsia="Calibri" w:hAnsi="Arial" w:cs="Arial"/>
          <w:b/>
          <w:smallCaps/>
          <w:sz w:val="24"/>
          <w:szCs w:val="24"/>
        </w:rPr>
        <w:t>CONSTITUCIÓN POLÍTICA DE LA CIUDAD DE MEXICO</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Artículo 53</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Alcaldías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 De la integración, organización y facultades de las alcaldías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B. De las personas titulares de las alcaldías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3. Las personas titulares de las alcaldías tendrán las siguientes atribuciones: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 De manera exclusiva:</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rPr>
          <w:rFonts w:ascii="Arial" w:eastAsia="Calibri" w:hAnsi="Arial" w:cs="Arial"/>
          <w:b/>
          <w:smallCaps/>
          <w:sz w:val="24"/>
          <w:szCs w:val="24"/>
        </w:rPr>
      </w:pPr>
      <w:r w:rsidRPr="00006610">
        <w:rPr>
          <w:rFonts w:ascii="Arial" w:eastAsia="Calibri" w:hAnsi="Arial" w:cs="Arial"/>
          <w:b/>
          <w:smallCaps/>
          <w:sz w:val="24"/>
          <w:szCs w:val="24"/>
        </w:rPr>
        <w:t>LEY ORGÁNICA DE ALCALDÍAS DE LA CIUDAD DE MÉXICO</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Artículo 31. Las atribuciones exclusivas de las personas titulares de las Alcaldías en materia de gobierno y régimen interior, son las siguientes:</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006610" w:rsidRPr="00006610" w:rsidRDefault="00006610" w:rsidP="00006610">
      <w:pPr>
        <w:spacing w:after="0" w:line="240" w:lineRule="auto"/>
        <w:jc w:val="both"/>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Alcaldías deberán contar por lo menos con las siguientes Unidades Administrativas:</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I. Gobierno;</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II. Asuntos Jurídicos;</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III. Administración;</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IV. Obras y Desarrollo Urbano;</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V. Servicios Urbanos;</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VI. Planeación del Desarrollo;</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VII. Desarrollo Social.</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VIII. Desarrollo y Fomento Económico;</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IX. Protección Civil;</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X. Participación Ciudadana;</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XI. Sustentabilidad;</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XII. Derechos Culturales, Recreativos y Educativos.</w:t>
      </w:r>
    </w:p>
    <w:p w:rsidR="00006610" w:rsidRPr="00006610" w:rsidRDefault="00006610" w:rsidP="00006610">
      <w:pPr>
        <w:spacing w:after="0" w:line="240" w:lineRule="auto"/>
        <w:rPr>
          <w:rFonts w:ascii="Arial" w:eastAsia="Calibri" w:hAnsi="Arial" w:cs="Arial"/>
          <w:smallCaps/>
          <w:sz w:val="24"/>
          <w:szCs w:val="24"/>
        </w:rPr>
      </w:pPr>
      <w:r w:rsidRPr="00006610">
        <w:rPr>
          <w:rFonts w:ascii="Arial" w:eastAsia="Calibri" w:hAnsi="Arial" w:cs="Arial"/>
          <w:smallCaps/>
          <w:sz w:val="24"/>
          <w:szCs w:val="24"/>
        </w:rPr>
        <w:t>XIII. Fomento a la Equidad de Género;</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Las unidades administrativas podrán ejercer de manera conjunta o separada las materias descritas en las fracciones del presente Artículo.</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rPr>
          <w:rFonts w:ascii="Arial" w:eastAsia="Calibri" w:hAnsi="Arial" w:cs="Arial"/>
          <w:b/>
          <w:smallCaps/>
          <w:sz w:val="24"/>
          <w:szCs w:val="24"/>
        </w:rPr>
      </w:pPr>
      <w:r w:rsidRPr="00006610">
        <w:rPr>
          <w:rFonts w:ascii="Arial" w:eastAsia="Calibri" w:hAnsi="Arial" w:cs="Arial"/>
          <w:b/>
          <w:smallCaps/>
          <w:sz w:val="24"/>
          <w:szCs w:val="24"/>
        </w:rPr>
        <w:t>REGLAMENTO INTERIOR DEL PODER EJECUTIVO Y DE LA ADMINISTRACIÓN PÚBLICA DE LA CIUDAD DE MÉXICO</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Artículo 5°. - Además de las facultades que establece la Ley, los titulares de las Dependencias tienen las siguientes facultades:</w:t>
      </w:r>
    </w:p>
    <w:p w:rsidR="00006610" w:rsidRPr="00006610" w:rsidRDefault="00006610" w:rsidP="00006610">
      <w:pPr>
        <w:spacing w:after="0" w:line="240" w:lineRule="auto"/>
        <w:rPr>
          <w:rFonts w:ascii="Arial" w:eastAsia="Calibri" w:hAnsi="Arial" w:cs="Arial"/>
          <w:smallCaps/>
          <w:sz w:val="24"/>
          <w:szCs w:val="24"/>
        </w:rPr>
      </w:pPr>
    </w:p>
    <w:p w:rsidR="00006610" w:rsidRPr="00006610" w:rsidRDefault="00006610" w:rsidP="00006610">
      <w:pPr>
        <w:spacing w:after="0" w:line="240" w:lineRule="auto"/>
        <w:jc w:val="both"/>
        <w:rPr>
          <w:rFonts w:ascii="Arial" w:eastAsia="Calibri" w:hAnsi="Arial" w:cs="Arial"/>
          <w:smallCaps/>
          <w:sz w:val="24"/>
          <w:szCs w:val="24"/>
        </w:rPr>
      </w:pPr>
      <w:r w:rsidRPr="00006610">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006610" w:rsidRPr="00006610" w:rsidRDefault="00006610" w:rsidP="00006610">
      <w:pPr>
        <w:spacing w:after="0" w:line="240" w:lineRule="auto"/>
        <w:rPr>
          <w:rFonts w:ascii="Arial" w:eastAsia="Calibri" w:hAnsi="Arial" w:cs="Arial"/>
          <w:b/>
          <w:smallCaps/>
          <w:sz w:val="24"/>
          <w:szCs w:val="24"/>
        </w:rPr>
      </w:pPr>
    </w:p>
    <w:p w:rsidR="00006610" w:rsidRPr="00006610" w:rsidRDefault="00006610" w:rsidP="00006610">
      <w:pPr>
        <w:jc w:val="both"/>
        <w:rPr>
          <w:rFonts w:ascii="Arial" w:eastAsia="Calibri" w:hAnsi="Arial" w:cs="Arial"/>
          <w:b/>
          <w:caps/>
          <w:sz w:val="24"/>
          <w:szCs w:val="24"/>
        </w:rPr>
      </w:pPr>
      <w:r w:rsidRPr="00006610">
        <w:rPr>
          <w:rFonts w:ascii="Arial" w:eastAsia="Calibri" w:hAnsi="Arial" w:cs="Arial"/>
          <w:b/>
          <w:caps/>
          <w:sz w:val="24"/>
          <w:szCs w:val="24"/>
        </w:rPr>
        <w:t xml:space="preserve">Lineamientos mediante los que se establece el modelo integral de atención ciudadana de la Administración Pública de la Ciudad de México </w:t>
      </w:r>
      <w:r w:rsidRPr="00006610">
        <w:rPr>
          <w:rFonts w:ascii="Arial" w:eastAsia="Calibri" w:hAnsi="Arial" w:cs="Arial"/>
          <w:caps/>
          <w:sz w:val="24"/>
          <w:szCs w:val="24"/>
        </w:rPr>
        <w:t xml:space="preserve">(Emitidos por la Agencia Digital de Innovación Pública del Gobierno de la Ciudad de México, publicada en la Gaceta Oficial de la Ciudad de México del 2 de julio del 2019)                                                               </w:t>
      </w: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21.-Reclutamiento, evaluación, selección y contratación del personal de atención ciudadana de las AAC, en las modalidades presencial, telefónica y digital.</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21.1. El proceso de reclutamiento, evaluación, selección y contratación del Personal de Atención Ciudadana estará a cargo de las DGA de los Entes Públicos.</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21.2. Los aspirantes a ocupar vacantes en las AAC deberán cumplir como mínimo con los siguientes requisitos:</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A. Perfil escolar</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 relacionado con temas de mejora continua de la calidad.</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III. Para responsables de VUT, CESAC y AAC. Experiencia laboral mínima de 1 año en puestos de mando, deseable experiencia laboral en puestos afines.</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IV. Manejo de paquetería ofimática e Internet.</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V. Buena redacción y ortografía.</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 xml:space="preserve">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 xml:space="preserve">Para tales efectos, el RAAC deberá adjuntar oficio de justificación y visto bueno adjunto al Formato de Registro del Personal Evaluado y/o al Formato de Registro de Personal. </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La compensación de experiencia por perfil escolar no deberá en ningún caso omitir los procesos de evaluación para el ingreso de personal a las AAC.</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B. Perfil personal</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 Modalidad de atención Presencial:</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1. Actitud de servicio para brindar atención al público;</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 Facilidad de comunicación verbal oral y escrita;</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3. Apego a reglas y procedimientos;</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4. Presentación acorde a la vestimenta institucional (uniforme aprobado por el Manual de Identidad Gráfica de las AAC); y</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5. Para el Responsable de VUT, CESAC y AAC, habilidad de supervisión de personal</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II. Modalidad de Atención Digital:</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Adicionalmente a los requisitos establecidos en el numeral 21,</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1. Excelente redacción y ortografía; y</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 Experiencia o formación en administración de medios digitales y uso de tecnologías digitales (ordenadores, tabletas, teléfonos inteligentes, navegadores web, aplicaciones, etc.)</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III. Modalidad de Atención Telefónica:</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Adicionalmente a los requisitos establecidos en la en el numeral 21,</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1. Tono de voz con timbre agradable, y</w:t>
      </w:r>
    </w:p>
    <w:p w:rsidR="00006610" w:rsidRPr="00006610" w:rsidRDefault="00006610" w:rsidP="00006610">
      <w:pPr>
        <w:spacing w:after="0" w:line="240" w:lineRule="auto"/>
        <w:jc w:val="both"/>
        <w:rPr>
          <w:rFonts w:ascii="Arial" w:eastAsia="Calibri" w:hAnsi="Arial" w:cs="Arial"/>
          <w:sz w:val="24"/>
          <w:szCs w:val="24"/>
        </w:rPr>
      </w:pPr>
    </w:p>
    <w:p w:rsidR="00006610" w:rsidRPr="00006610" w:rsidRDefault="00006610" w:rsidP="00006610">
      <w:pPr>
        <w:spacing w:after="0" w:line="240" w:lineRule="auto"/>
        <w:jc w:val="both"/>
        <w:rPr>
          <w:rFonts w:ascii="Arial" w:eastAsia="Calibri" w:hAnsi="Arial" w:cs="Arial"/>
          <w:sz w:val="24"/>
          <w:szCs w:val="24"/>
        </w:rPr>
      </w:pPr>
      <w:r w:rsidRPr="00006610">
        <w:rPr>
          <w:rFonts w:ascii="Arial" w:eastAsia="Calibri" w:hAnsi="Arial" w:cs="Arial"/>
          <w:sz w:val="24"/>
          <w:szCs w:val="24"/>
        </w:rPr>
        <w:t>2. Pronunciación adecuada, hablar con correcta nitidez, articulación y vocalización.</w:t>
      </w:r>
    </w:p>
    <w:p w:rsidR="00006610" w:rsidRPr="00006610" w:rsidRDefault="00006610" w:rsidP="00006610">
      <w:pPr>
        <w:spacing w:after="0" w:line="240" w:lineRule="auto"/>
        <w:rPr>
          <w:rFonts w:ascii="Calibri" w:eastAsia="Calibri" w:hAnsi="Calibri" w:cs="Times New Roman"/>
        </w:rPr>
      </w:pPr>
    </w:p>
    <w:p w:rsidR="00F30734" w:rsidRPr="00006610" w:rsidRDefault="00F30734" w:rsidP="00006610"/>
    <w:sectPr w:rsidR="00F30734" w:rsidRPr="00006610"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8DA" w:rsidRDefault="00B348DA" w:rsidP="00EF0F92">
      <w:pPr>
        <w:spacing w:after="0" w:line="240" w:lineRule="auto"/>
      </w:pPr>
      <w:r>
        <w:separator/>
      </w:r>
    </w:p>
  </w:endnote>
  <w:endnote w:type="continuationSeparator" w:id="0">
    <w:p w:rsidR="00B348DA" w:rsidRDefault="00B348D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C78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C78F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8DA" w:rsidRDefault="00B348DA" w:rsidP="00EF0F92">
      <w:pPr>
        <w:spacing w:after="0" w:line="240" w:lineRule="auto"/>
      </w:pPr>
      <w:r>
        <w:separator/>
      </w:r>
    </w:p>
  </w:footnote>
  <w:footnote w:type="continuationSeparator" w:id="0">
    <w:p w:rsidR="00B348DA" w:rsidRDefault="00B348D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610"/>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C78FC"/>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3A8A"/>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65F"/>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3F43"/>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D24"/>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DA"/>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76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2F1"/>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C7409"/>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84120920">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19279-2A8B-444D-8220-7B8BFED8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2021-09-21T18:31:00Z</dcterms:created>
  <dcterms:modified xsi:type="dcterms:W3CDTF">2021-09-21T18:31:00Z</dcterms:modified>
</cp:coreProperties>
</file>