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0A" w:rsidRDefault="007E060A" w:rsidP="007E060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328D9">
        <w:rPr>
          <w:b/>
          <w:sz w:val="32"/>
          <w:szCs w:val="32"/>
        </w:rPr>
        <w:t>N O T A</w:t>
      </w:r>
    </w:p>
    <w:p w:rsidR="003328D9" w:rsidRPr="003328D9" w:rsidRDefault="003328D9" w:rsidP="007E060A">
      <w:pPr>
        <w:jc w:val="center"/>
        <w:rPr>
          <w:b/>
          <w:sz w:val="32"/>
          <w:szCs w:val="32"/>
        </w:rPr>
      </w:pPr>
    </w:p>
    <w:p w:rsidR="001E421F" w:rsidRDefault="007E060A" w:rsidP="00001BE1">
      <w:pPr>
        <w:spacing w:after="0" w:line="276" w:lineRule="auto"/>
        <w:jc w:val="both"/>
        <w:rPr>
          <w:sz w:val="24"/>
          <w:szCs w:val="24"/>
        </w:rPr>
      </w:pPr>
      <w:r w:rsidRPr="007E060A">
        <w:rPr>
          <w:sz w:val="24"/>
          <w:szCs w:val="24"/>
        </w:rPr>
        <w:t>Respecto a los informes de evaluación y reportes de monitoreo que se obtenían través de la Plataforma Tecnológica de Monitoreo de la Gestión Gubernamenta</w:t>
      </w:r>
      <w:r w:rsidR="00C9073B">
        <w:rPr>
          <w:sz w:val="24"/>
          <w:szCs w:val="24"/>
        </w:rPr>
        <w:t xml:space="preserve">l denominada MONITOREO CDMX, la entonces </w:t>
      </w:r>
      <w:r w:rsidRPr="007E060A">
        <w:rPr>
          <w:sz w:val="24"/>
          <w:szCs w:val="24"/>
        </w:rPr>
        <w:t>Oficialía Mayor del Gobierno de la Ciudad de México</w:t>
      </w:r>
      <w:r w:rsidR="00244057">
        <w:rPr>
          <w:sz w:val="24"/>
          <w:szCs w:val="24"/>
        </w:rPr>
        <w:t>,</w:t>
      </w:r>
      <w:r w:rsidRPr="007E060A">
        <w:rPr>
          <w:sz w:val="24"/>
          <w:szCs w:val="24"/>
        </w:rPr>
        <w:t xml:space="preserve"> publicó en la Gaceta Oficial de la Ciudad de México el 21 de abril de 2016, los Lineamientos de Monitoreo y Evaluación de la Gestión Gubernamental de la Administración Pública de la Ciudad de México, donde en el transitorio tercero establece que a partir de la entrada en vigor de </w:t>
      </w:r>
      <w:r w:rsidR="002B62F8">
        <w:rPr>
          <w:sz w:val="24"/>
          <w:szCs w:val="24"/>
        </w:rPr>
        <w:t>dichos</w:t>
      </w:r>
      <w:r w:rsidR="002B62F8" w:rsidRPr="007E060A">
        <w:rPr>
          <w:sz w:val="24"/>
          <w:szCs w:val="24"/>
        </w:rPr>
        <w:t xml:space="preserve"> </w:t>
      </w:r>
      <w:r w:rsidR="00524B1C">
        <w:rPr>
          <w:sz w:val="24"/>
          <w:szCs w:val="24"/>
        </w:rPr>
        <w:t>Lineamientos, quedó</w:t>
      </w:r>
      <w:r w:rsidRPr="007E060A">
        <w:rPr>
          <w:sz w:val="24"/>
          <w:szCs w:val="24"/>
        </w:rPr>
        <w:t xml:space="preserve"> deshabilitado y fuera de operación la plataforma de uso y atención del Sistema del Programa Monitoreo y Evaluación del Desempeño Gubernamental (SIPROMOEVA) que se encontraba a cargo de la </w:t>
      </w:r>
      <w:r w:rsidR="00524B1C">
        <w:rPr>
          <w:sz w:val="24"/>
          <w:szCs w:val="24"/>
        </w:rPr>
        <w:t xml:space="preserve">entonces </w:t>
      </w:r>
      <w:r w:rsidRPr="007E060A">
        <w:rPr>
          <w:sz w:val="24"/>
          <w:szCs w:val="24"/>
        </w:rPr>
        <w:t>CGMA.</w:t>
      </w:r>
    </w:p>
    <w:p w:rsidR="00A940C7" w:rsidRDefault="00A940C7" w:rsidP="00001BE1">
      <w:pPr>
        <w:spacing w:after="0" w:line="276" w:lineRule="auto"/>
        <w:jc w:val="both"/>
        <w:rPr>
          <w:sz w:val="24"/>
          <w:szCs w:val="24"/>
        </w:rPr>
      </w:pPr>
    </w:p>
    <w:p w:rsidR="00033BB6" w:rsidRDefault="00A940C7" w:rsidP="00001BE1">
      <w:pPr>
        <w:spacing w:after="0"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Por otra parte, la Ley de Evaluación de la Ciudad de México, r</w:t>
      </w:r>
      <w:r w:rsidRPr="00A940C7">
        <w:rPr>
          <w:sz w:val="24"/>
          <w:szCs w:val="24"/>
        </w:rPr>
        <w:t>eglamentaria del artículo 47, de la Constitución Política de la Ciudad de México en materia de evaluación</w:t>
      </w:r>
      <w:r>
        <w:rPr>
          <w:sz w:val="24"/>
          <w:szCs w:val="24"/>
        </w:rPr>
        <w:t>, publicada</w:t>
      </w:r>
      <w:r w:rsidRPr="00A940C7">
        <w:rPr>
          <w:sz w:val="24"/>
          <w:szCs w:val="24"/>
        </w:rPr>
        <w:t xml:space="preserve"> en la Gaceta Oficial de la Ciudad de México el 9 de junio de 2021</w:t>
      </w:r>
      <w:r>
        <w:rPr>
          <w:sz w:val="24"/>
          <w:szCs w:val="24"/>
        </w:rPr>
        <w:t xml:space="preserve">, </w:t>
      </w:r>
      <w:r w:rsidR="00A37F0B">
        <w:rPr>
          <w:sz w:val="24"/>
          <w:szCs w:val="24"/>
        </w:rPr>
        <w:t>estatuye en su</w:t>
      </w:r>
      <w:r w:rsidR="00033BB6">
        <w:rPr>
          <w:sz w:val="24"/>
          <w:szCs w:val="24"/>
        </w:rPr>
        <w:t>s</w:t>
      </w:r>
      <w:r w:rsidR="00A37F0B">
        <w:rPr>
          <w:sz w:val="24"/>
          <w:szCs w:val="24"/>
        </w:rPr>
        <w:t xml:space="preserve"> artículo</w:t>
      </w:r>
      <w:r w:rsidR="00033BB6">
        <w:rPr>
          <w:sz w:val="24"/>
          <w:szCs w:val="24"/>
        </w:rPr>
        <w:t>s</w:t>
      </w:r>
      <w:r w:rsidR="00A37F0B">
        <w:rPr>
          <w:sz w:val="24"/>
          <w:szCs w:val="24"/>
        </w:rPr>
        <w:t xml:space="preserve"> 4</w:t>
      </w:r>
      <w:r w:rsidR="00033BB6">
        <w:rPr>
          <w:sz w:val="24"/>
          <w:szCs w:val="24"/>
        </w:rPr>
        <w:t xml:space="preserve"> y 6</w:t>
      </w:r>
      <w:r w:rsidR="00A37F0B">
        <w:rPr>
          <w:sz w:val="24"/>
          <w:szCs w:val="24"/>
        </w:rPr>
        <w:t xml:space="preserve"> que: </w:t>
      </w:r>
      <w:r w:rsidR="00A37F0B" w:rsidRPr="00F0728A">
        <w:rPr>
          <w:b/>
          <w:i/>
          <w:sz w:val="24"/>
          <w:szCs w:val="24"/>
        </w:rPr>
        <w:t>“</w:t>
      </w:r>
      <w:r w:rsidR="00F0728A" w:rsidRPr="00F0728A">
        <w:rPr>
          <w:b/>
          <w:i/>
          <w:sz w:val="24"/>
          <w:szCs w:val="24"/>
        </w:rPr>
        <w:t>Artículo 4.</w:t>
      </w:r>
      <w:r w:rsidR="00F0728A" w:rsidRPr="00F0728A">
        <w:rPr>
          <w:i/>
          <w:sz w:val="24"/>
          <w:szCs w:val="24"/>
        </w:rPr>
        <w:t xml:space="preserve"> La evaluación constituye un proceso integral y sistemático que permite conocer, explicar y valorar el diseño, la formulación, la implementación, la operación, los resultados, e impacto de las políticas, programas, estrategias, proyectos de inversión o acciones de los entes de la Administración Pública y de las Alcaldías en el bienestar social, la calidad de vida, la pobreza, las desigualdades y los derechos humanos, y en su caso, formular las observaciones y recomendaciones para su reorientación y fortalecimiento. La evaluación será interna y externa, tendrá por objeto detectar deficiencias y fortalezas; constituirá la base para formular las observaciones y recomendaciones para el fortalecimiento, modificación o reorientación de las políticas, programas, proyectos de inversión y acciones de gobierno. </w:t>
      </w:r>
      <w:r w:rsidR="00F0728A" w:rsidRPr="00F0728A">
        <w:rPr>
          <w:b/>
          <w:i/>
          <w:sz w:val="24"/>
          <w:szCs w:val="24"/>
        </w:rPr>
        <w:t xml:space="preserve">La evaluación interna será realizada anualmente por los entes de la Administración Pública y las Alcaldías que ejecuten programas en materia de desarrollo económico, social, urbano, rural, seguridad ciudadana y medio ambiente, </w:t>
      </w:r>
      <w:r w:rsidR="00F0728A" w:rsidRPr="00F0728A">
        <w:rPr>
          <w:b/>
          <w:i/>
          <w:sz w:val="24"/>
          <w:szCs w:val="24"/>
          <w:u w:val="single"/>
        </w:rPr>
        <w:t>conforme a los lineamientos que emita el Consejo</w:t>
      </w:r>
      <w:r w:rsidR="00F0728A" w:rsidRPr="00F0728A">
        <w:rPr>
          <w:i/>
          <w:sz w:val="24"/>
          <w:szCs w:val="24"/>
        </w:rPr>
        <w:t xml:space="preserve"> y a lo establecido en la Ley de Austeridad, Transparencia en Remuneraciones, Prestaciones y Ejercicio de Recursos de la Ciudad de México. </w:t>
      </w:r>
      <w:r w:rsidR="00F0728A" w:rsidRPr="00033BB6">
        <w:rPr>
          <w:b/>
          <w:i/>
          <w:sz w:val="24"/>
          <w:szCs w:val="24"/>
          <w:u w:val="single"/>
        </w:rPr>
        <w:t>La evaluación externa es la que ejecutará el Consejo a los entes de la Administración Pública y las Alcaldías</w:t>
      </w:r>
      <w:r w:rsidR="00F0728A" w:rsidRPr="00F0728A">
        <w:rPr>
          <w:i/>
          <w:sz w:val="24"/>
          <w:szCs w:val="24"/>
        </w:rPr>
        <w:t>, se llevará a cabo conforme a lo dispuesto por la presente Ley.</w:t>
      </w:r>
      <w:r w:rsidR="00A37F0B" w:rsidRPr="00F0728A">
        <w:rPr>
          <w:b/>
          <w:i/>
          <w:sz w:val="24"/>
          <w:szCs w:val="24"/>
        </w:rPr>
        <w:t>”</w:t>
      </w:r>
    </w:p>
    <w:p w:rsidR="00033BB6" w:rsidRDefault="00033BB6" w:rsidP="00001BE1">
      <w:pPr>
        <w:spacing w:after="0" w:line="276" w:lineRule="auto"/>
        <w:jc w:val="both"/>
        <w:rPr>
          <w:b/>
          <w:i/>
          <w:sz w:val="24"/>
          <w:szCs w:val="24"/>
        </w:rPr>
      </w:pPr>
    </w:p>
    <w:p w:rsidR="00A940C7" w:rsidRPr="00F0728A" w:rsidRDefault="00033BB6" w:rsidP="00001BE1">
      <w:pPr>
        <w:spacing w:after="0" w:line="276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“</w:t>
      </w:r>
      <w:r w:rsidRPr="00033BB6">
        <w:rPr>
          <w:b/>
          <w:i/>
          <w:sz w:val="24"/>
          <w:szCs w:val="24"/>
        </w:rPr>
        <w:t>Artículo 6. El Consejo</w:t>
      </w:r>
      <w:r w:rsidRPr="00033BB6">
        <w:rPr>
          <w:i/>
          <w:sz w:val="24"/>
          <w:szCs w:val="24"/>
        </w:rPr>
        <w:t xml:space="preserve"> es un organismo constitucional autónomo técnico colegiado e imparcial, de carácter especializado en evaluación, con personalidad jurídica y patrimonio propios, autonomía técnica y de gestión, así como capacidad para decidir sobre el ejercicio de su presupuesto, determinar su organización interna y </w:t>
      </w:r>
      <w:r w:rsidRPr="00033BB6">
        <w:rPr>
          <w:b/>
          <w:i/>
          <w:sz w:val="24"/>
          <w:szCs w:val="24"/>
          <w:u w:val="single"/>
        </w:rPr>
        <w:t>encargado de la evaluación de las políticas, programas y acciones que implementen los entes de la Administración Pública y las</w:t>
      </w:r>
      <w:r w:rsidRPr="00033BB6">
        <w:rPr>
          <w:i/>
          <w:sz w:val="24"/>
          <w:szCs w:val="24"/>
        </w:rPr>
        <w:t xml:space="preserve"> </w:t>
      </w:r>
      <w:r w:rsidRPr="00033BB6">
        <w:rPr>
          <w:b/>
          <w:i/>
          <w:sz w:val="24"/>
          <w:szCs w:val="24"/>
          <w:u w:val="single"/>
        </w:rPr>
        <w:t>Alcaldías</w:t>
      </w:r>
      <w:r w:rsidRPr="00033BB6">
        <w:rPr>
          <w:i/>
          <w:sz w:val="24"/>
          <w:szCs w:val="24"/>
        </w:rPr>
        <w:t>. Su funcionamiento será regulado por el Estatuto Orgánico, que al efecto expida el propio Consejo.</w:t>
      </w:r>
      <w:r>
        <w:rPr>
          <w:b/>
          <w:i/>
          <w:sz w:val="24"/>
          <w:szCs w:val="24"/>
        </w:rPr>
        <w:t xml:space="preserve">” </w:t>
      </w:r>
      <w:r w:rsidRPr="00033BB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Sic</w:t>
      </w:r>
      <w:r w:rsidRPr="00033BB6">
        <w:rPr>
          <w:i/>
          <w:sz w:val="24"/>
          <w:szCs w:val="24"/>
        </w:rPr>
        <w:t>)</w:t>
      </w:r>
      <w:r w:rsidR="003D07BF">
        <w:rPr>
          <w:i/>
          <w:sz w:val="24"/>
          <w:szCs w:val="24"/>
        </w:rPr>
        <w:t>.</w:t>
      </w:r>
    </w:p>
    <w:p w:rsidR="00185E22" w:rsidRDefault="00185E22" w:rsidP="00001BE1">
      <w:pPr>
        <w:spacing w:after="0" w:line="276" w:lineRule="auto"/>
        <w:jc w:val="both"/>
        <w:rPr>
          <w:sz w:val="24"/>
          <w:szCs w:val="24"/>
        </w:rPr>
      </w:pPr>
    </w:p>
    <w:p w:rsidR="00001BE1" w:rsidRDefault="00001BE1" w:rsidP="00001BE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C7665">
        <w:rPr>
          <w:sz w:val="24"/>
          <w:szCs w:val="24"/>
        </w:rPr>
        <w:t>erivado de lo anterior, resulta claro que por ministerio de ley, el Concejo de Evaluación de la Ciudad de México, es el organismo constitucional autónomo</w:t>
      </w:r>
      <w:r w:rsidR="003D07BF">
        <w:rPr>
          <w:sz w:val="24"/>
          <w:szCs w:val="24"/>
        </w:rPr>
        <w:t xml:space="preserve"> </w:t>
      </w:r>
      <w:r w:rsidR="003D07BF" w:rsidRPr="003D07BF">
        <w:rPr>
          <w:sz w:val="24"/>
          <w:szCs w:val="24"/>
        </w:rPr>
        <w:t>encargado de la evaluación de las políticas, programas y acciones que implementen los entes de la Administración Pública y las Alcaldías</w:t>
      </w:r>
      <w:r w:rsidR="003D07BF">
        <w:rPr>
          <w:sz w:val="24"/>
          <w:szCs w:val="24"/>
        </w:rPr>
        <w:t xml:space="preserve"> (evaluación externa); ahora bien, por lo que hace a las </w:t>
      </w:r>
      <w:r w:rsidR="00C62D5A">
        <w:rPr>
          <w:sz w:val="24"/>
          <w:szCs w:val="24"/>
        </w:rPr>
        <w:t>auditorías internas, estas deben</w:t>
      </w:r>
      <w:r w:rsidR="003D07BF">
        <w:rPr>
          <w:sz w:val="24"/>
          <w:szCs w:val="24"/>
        </w:rPr>
        <w:t xml:space="preserve"> ser realizadas por las propias Alcaldías, sin embargo,  actualmente el Concejo no ha emitido los lineamientos correspondientes.  </w:t>
      </w:r>
    </w:p>
    <w:p w:rsidR="00001BE1" w:rsidRDefault="00001BE1" w:rsidP="00001BE1">
      <w:pPr>
        <w:spacing w:after="0" w:line="276" w:lineRule="auto"/>
        <w:jc w:val="both"/>
        <w:rPr>
          <w:sz w:val="24"/>
          <w:szCs w:val="24"/>
        </w:rPr>
      </w:pPr>
    </w:p>
    <w:p w:rsidR="00001BE1" w:rsidRPr="004112B8" w:rsidRDefault="00001BE1" w:rsidP="00001BE1">
      <w:pPr>
        <w:spacing w:after="0"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Así pues, es inconcuso que este Órgano Político Administrativo en Álvaro Obregón, se encuentra imposibilitado legalmente para dar cumplimiento a obligación establecida en la fracción VII del artículo 121 </w:t>
      </w:r>
      <w:r w:rsidR="004112B8">
        <w:rPr>
          <w:sz w:val="24"/>
          <w:szCs w:val="24"/>
        </w:rPr>
        <w:t xml:space="preserve">de la ley de la materia </w:t>
      </w:r>
      <w:r w:rsidR="004112B8" w:rsidRPr="004112B8">
        <w:rPr>
          <w:b/>
          <w:i/>
          <w:sz w:val="24"/>
          <w:szCs w:val="24"/>
        </w:rPr>
        <w:t>(…que permitan evaluar su desempeño por área de conformidad con sus programas operativos…)</w:t>
      </w:r>
      <w:r w:rsidR="004112B8">
        <w:rPr>
          <w:b/>
          <w:i/>
          <w:sz w:val="24"/>
          <w:szCs w:val="24"/>
        </w:rPr>
        <w:t xml:space="preserve"> </w:t>
      </w:r>
      <w:r w:rsidR="004112B8" w:rsidRPr="00033BB6">
        <w:rPr>
          <w:i/>
          <w:sz w:val="24"/>
          <w:szCs w:val="24"/>
        </w:rPr>
        <w:t>(</w:t>
      </w:r>
      <w:r w:rsidR="004112B8">
        <w:rPr>
          <w:i/>
          <w:sz w:val="24"/>
          <w:szCs w:val="24"/>
        </w:rPr>
        <w:t>Sic</w:t>
      </w:r>
      <w:r w:rsidR="004112B8" w:rsidRPr="00033BB6">
        <w:rPr>
          <w:i/>
          <w:sz w:val="24"/>
          <w:szCs w:val="24"/>
        </w:rPr>
        <w:t>)</w:t>
      </w:r>
      <w:r w:rsidR="004112B8">
        <w:rPr>
          <w:i/>
          <w:sz w:val="24"/>
          <w:szCs w:val="24"/>
        </w:rPr>
        <w:t>.</w:t>
      </w:r>
    </w:p>
    <w:p w:rsidR="00001BE1" w:rsidRDefault="00001BE1" w:rsidP="007E060A">
      <w:pPr>
        <w:jc w:val="both"/>
        <w:rPr>
          <w:sz w:val="24"/>
          <w:szCs w:val="24"/>
        </w:rPr>
      </w:pPr>
    </w:p>
    <w:p w:rsidR="00001BE1" w:rsidRDefault="00001BE1" w:rsidP="007E060A">
      <w:pPr>
        <w:jc w:val="both"/>
        <w:rPr>
          <w:sz w:val="24"/>
          <w:szCs w:val="24"/>
        </w:rPr>
      </w:pPr>
    </w:p>
    <w:p w:rsidR="00185E22" w:rsidRPr="007E060A" w:rsidRDefault="00185E22" w:rsidP="007E060A">
      <w:pPr>
        <w:jc w:val="both"/>
        <w:rPr>
          <w:sz w:val="24"/>
          <w:szCs w:val="24"/>
        </w:rPr>
      </w:pPr>
    </w:p>
    <w:sectPr w:rsidR="00185E22" w:rsidRPr="007E060A" w:rsidSect="009F5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C3" w:rsidRDefault="00F771C3">
      <w:pPr>
        <w:spacing w:after="0" w:line="240" w:lineRule="auto"/>
      </w:pPr>
      <w:r>
        <w:separator/>
      </w:r>
    </w:p>
  </w:endnote>
  <w:endnote w:type="continuationSeparator" w:id="0">
    <w:p w:rsidR="00F771C3" w:rsidRDefault="00F7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D" w:rsidRDefault="00CD44CC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-300990</wp:posOffset>
              </wp:positionV>
              <wp:extent cx="2870835" cy="520700"/>
              <wp:effectExtent l="0" t="381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C51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 colonia Tolteca</w:t>
                          </w:r>
                        </w:p>
                        <w:p w:rsidR="00190C51" w:rsidRPr="00195ADD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 C.P. 01150, Ciudad de México</w:t>
                          </w:r>
                        </w:p>
                        <w:p w:rsidR="00190C51" w:rsidRPr="00195ADD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T.  </w:t>
                          </w:r>
                          <w:r w:rsidR="00DD3183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(</w:t>
                          </w:r>
                          <w:r w:rsidR="00DD3183" w:rsidRPr="00DD3183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5552766836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)</w:t>
                          </w:r>
                        </w:p>
                        <w:p w:rsidR="00190C51" w:rsidRDefault="00190C51" w:rsidP="00190C51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-28.8pt;margin-top:-23.7pt;width:226.05pt;height: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" fillcolor="white [3201]" stroked="f" strokeweight=".5pt">
              <v:textbox>
                <w:txbxContent>
                  <w:p w:rsidR="00190C51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 colonia Tolteca</w:t>
                    </w:r>
                  </w:p>
                  <w:p w:rsidR="00190C51" w:rsidRPr="00195ADD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 C.P. 01150, Ciudad de México</w:t>
                    </w:r>
                  </w:p>
                  <w:p w:rsidR="00190C51" w:rsidRPr="00195ADD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T.  </w:t>
                    </w:r>
                    <w:r w:rsidR="00DD3183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(</w:t>
                    </w:r>
                    <w:r w:rsidR="00DD3183" w:rsidRPr="00DD3183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5552766836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)</w:t>
                    </w:r>
                  </w:p>
                  <w:p w:rsidR="00190C51" w:rsidRDefault="00190C51" w:rsidP="00190C5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F03396">
      <w:rPr>
        <w:noProof/>
      </w:rPr>
      <w:drawing>
        <wp:anchor distT="114300" distB="114300" distL="114300" distR="114300" simplePos="0" relativeHeight="251657728" behindDoc="0" locked="0" layoutInCell="1" allowOverlap="1" wp14:anchorId="3F52696B" wp14:editId="57A2FAF9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5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C3" w:rsidRDefault="00F771C3">
      <w:pPr>
        <w:spacing w:after="0" w:line="240" w:lineRule="auto"/>
      </w:pPr>
      <w:r>
        <w:separator/>
      </w:r>
    </w:p>
  </w:footnote>
  <w:footnote w:type="continuationSeparator" w:id="0">
    <w:p w:rsidR="00F771C3" w:rsidRDefault="00F7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9C" w:rsidRDefault="00F77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noProof/>
        <w:color w:val="808080"/>
        <w:sz w:val="21"/>
        <w:szCs w:val="21"/>
      </w:rPr>
    </w:pPr>
    <w:sdt>
      <w:sdtPr>
        <w:rPr>
          <w:noProof/>
          <w:color w:val="808080"/>
          <w:sz w:val="21"/>
          <w:szCs w:val="21"/>
        </w:rPr>
        <w:id w:val="-2122212170"/>
        <w:docPartObj>
          <w:docPartGallery w:val="Page Numbers (Margins)"/>
          <w:docPartUnique/>
        </w:docPartObj>
      </w:sdtPr>
      <w:sdtEndPr/>
      <w:sdtContent>
        <w:r w:rsidR="00CD44CC">
          <w:rPr>
            <w:noProof/>
          </w:rPr>
          <mc:AlternateContent>
            <mc:Choice Requires="wpg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561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7665" w:rsidRDefault="001C7665">
                                <w:pPr>
                                  <w:pStyle w:val="Encabezado"/>
                                  <w:jc w:val="center"/>
                                </w:pPr>
                                <w:r w:rsidRPr="001C7665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1C7665">
                                  <w:fldChar w:fldCharType="separate"/>
                                </w:r>
                                <w:r w:rsidR="00C62D5A" w:rsidRPr="00C62D5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 w:rsidRPr="001C7665">
                                  <w:rPr>
                                    <w:rStyle w:val="Nmerodepgina"/>
                                    <w:b/>
                                    <w:bCs/>
                                    <w:color w:val="806000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82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Xi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2TyBx5lwBOTqDgAA//8DAFBLAQItABQABgAIAAAAIQDb4fbL7gAAAIUBAAATAAAAAAAAAAAA&#10;AAAAAAAAAABbQ29udGVudF9UeXBlc10ueG1sUEsBAi0AFAAGAAgAAAAhAFr0LFu/AAAAFQEAAAsA&#10;AAAAAAAAAAAAAAAAHwEAAF9yZWxzLy5yZWxzUEsBAi0AFAAGAAgAAAAhAMYDJeLEAAAA3AAAAA8A&#10;AAAAAAAAAAAAAAAABwIAAGRycy9kb3ducmV2LnhtbFBLBQYAAAAAAwADALcAAAD4AgAAAAA=&#10;" filled="f" stroked="f">
                    <v:textbox inset="0,0,0,0">
                      <w:txbxContent>
                        <w:p w:rsidR="001C7665" w:rsidRDefault="001C7665">
                          <w:pPr>
                            <w:pStyle w:val="Encabezado"/>
                            <w:jc w:val="center"/>
                          </w:pPr>
                          <w:r w:rsidRPr="001C766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C7665">
                            <w:fldChar w:fldCharType="separate"/>
                          </w:r>
                          <w:r w:rsidR="00C62D5A" w:rsidRPr="00C62D5A">
                            <w:rPr>
                              <w:rStyle w:val="Nmerodepgina"/>
                              <w:b/>
                              <w:bCs/>
                              <w:noProof/>
                              <w:color w:val="806000" w:themeColor="accent4" w:themeShade="8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1C7665">
                            <w:rPr>
                              <w:rStyle w:val="Nmerodepgina"/>
                              <w:b/>
                              <w:bCs/>
                              <w:color w:val="806000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D44CC"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5281930</wp:posOffset>
              </wp:positionH>
              <wp:positionV relativeFrom="page">
                <wp:posOffset>358140</wp:posOffset>
              </wp:positionV>
              <wp:extent cx="2051050" cy="832485"/>
              <wp:effectExtent l="5080" t="5715" r="10795" b="9525"/>
              <wp:wrapSquare wrapText="bothSides"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0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F13B5" w:rsidRPr="00B159A3" w:rsidRDefault="00BC2AD1" w:rsidP="00B159A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159A3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 ÁLVARO OBREGÓN</w:t>
                          </w:r>
                        </w:p>
                        <w:p w:rsidR="00B159A3" w:rsidRDefault="00F02A2C" w:rsidP="00B159A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C2AD1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JEFATURA DE LA OFICINA DE LA ALCALDÍA</w:t>
                          </w:r>
                        </w:p>
                        <w:p w:rsidR="005134DC" w:rsidRDefault="005134DC" w:rsidP="00B159A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COORDINACIÓN DE PROCESOS PARA LA PLANEACIÓN Y EVALUACIÓN DE PROGRAMAS </w:t>
                          </w:r>
                        </w:p>
                        <w:p w:rsidR="005134DC" w:rsidRPr="00BC2AD1" w:rsidRDefault="005134DC" w:rsidP="00B159A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DF13B5" w:rsidRPr="00190C51" w:rsidRDefault="00DF13B5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31" style="position:absolute;margin-left:415.9pt;margin-top:28.2pt;width:161.5pt;height:65.5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" strokecolor="white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:rsidR="00DF13B5" w:rsidRPr="00B159A3" w:rsidRDefault="00BC2AD1" w:rsidP="00B159A3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B159A3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 ÁLVARO OBREGÓN</w:t>
                    </w:r>
                  </w:p>
                  <w:p w:rsidR="00B159A3" w:rsidRDefault="00F02A2C" w:rsidP="00B159A3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BC2AD1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JEFATURA DE LA OFICINA DE LA ALCALDÍA</w:t>
                    </w:r>
                  </w:p>
                  <w:p w:rsidR="005134DC" w:rsidRDefault="005134DC" w:rsidP="00B159A3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COORDINACIÓN DE PROCESOS PARA LA PLANEACIÓN Y EVALUACIÓN DE PROGRAMAS </w:t>
                    </w:r>
                  </w:p>
                  <w:p w:rsidR="005134DC" w:rsidRPr="00BC2AD1" w:rsidRDefault="005134DC" w:rsidP="00B159A3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DF13B5" w:rsidRPr="00190C51" w:rsidRDefault="00DF13B5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90C51">
      <w:rPr>
        <w:rFonts w:ascii="Source Sans Pro" w:eastAsia="Source Sans Pro" w:hAnsi="Source Sans Pro" w:cs="Source Sans Pro"/>
        <w:noProof/>
        <w:color w:val="808080"/>
      </w:rPr>
      <w:drawing>
        <wp:anchor distT="0" distB="0" distL="114300" distR="114300" simplePos="0" relativeHeight="251658240" behindDoc="0" locked="0" layoutInCell="1" allowOverlap="1" wp14:anchorId="6E03D50A" wp14:editId="2410D12D">
          <wp:simplePos x="0" y="0"/>
          <wp:positionH relativeFrom="column">
            <wp:posOffset>2948598</wp:posOffset>
          </wp:positionH>
          <wp:positionV relativeFrom="paragraph">
            <wp:posOffset>-126365</wp:posOffset>
          </wp:positionV>
          <wp:extent cx="1207789" cy="914400"/>
          <wp:effectExtent l="0" t="0" r="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03" t="19331" r="20024" b="21712"/>
                  <a:stretch/>
                </pic:blipFill>
                <pic:spPr bwMode="auto">
                  <a:xfrm>
                    <a:off x="0" y="0"/>
                    <a:ext cx="1207789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3396" w:rsidRPr="001426C5">
      <w:rPr>
        <w:i/>
        <w:noProof/>
        <w:color w:val="808080"/>
        <w:sz w:val="21"/>
        <w:szCs w:val="21"/>
      </w:rPr>
      <w:drawing>
        <wp:inline distT="0" distB="0" distL="0" distR="0" wp14:anchorId="34357E98" wp14:editId="03465F7E">
          <wp:extent cx="2541686" cy="639522"/>
          <wp:effectExtent l="0" t="0" r="0" b="0"/>
          <wp:docPr id="55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4DC" w:rsidRDefault="00513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noProof/>
        <w:color w:val="808080"/>
        <w:sz w:val="21"/>
        <w:szCs w:val="21"/>
      </w:rPr>
    </w:pPr>
  </w:p>
  <w:p w:rsidR="009F509C" w:rsidRDefault="009F509C" w:rsidP="009F5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noProof/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3DCA292F" wp14:editId="0F9AC3B3">
          <wp:extent cx="1609725" cy="554990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154D" w:rsidRPr="001426C5" w:rsidRDefault="003B154D" w:rsidP="009F5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i/>
        <w:color w:val="80808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CDF"/>
    <w:multiLevelType w:val="hybridMultilevel"/>
    <w:tmpl w:val="BECAF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716"/>
    <w:multiLevelType w:val="hybridMultilevel"/>
    <w:tmpl w:val="2444A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5445"/>
    <w:multiLevelType w:val="hybridMultilevel"/>
    <w:tmpl w:val="225A3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0E01"/>
    <w:multiLevelType w:val="hybridMultilevel"/>
    <w:tmpl w:val="D1C4C4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B13D4"/>
    <w:multiLevelType w:val="hybridMultilevel"/>
    <w:tmpl w:val="712E856E"/>
    <w:lvl w:ilvl="0" w:tplc="D57ED3AE">
      <w:numFmt w:val="bullet"/>
      <w:lvlText w:val="-"/>
      <w:lvlJc w:val="left"/>
      <w:pPr>
        <w:ind w:left="720" w:hanging="360"/>
      </w:pPr>
      <w:rPr>
        <w:rFonts w:ascii="Arial" w:eastAsia="Source Sans Pr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71FF"/>
    <w:multiLevelType w:val="hybridMultilevel"/>
    <w:tmpl w:val="3D00B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E0E6D"/>
    <w:multiLevelType w:val="hybridMultilevel"/>
    <w:tmpl w:val="289A09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20C"/>
    <w:multiLevelType w:val="hybridMultilevel"/>
    <w:tmpl w:val="8A86DB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B6985"/>
    <w:multiLevelType w:val="hybridMultilevel"/>
    <w:tmpl w:val="A0207290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 fillcolor="none [1945]" strokecolor="red">
      <v:fill color="none [1945]"/>
      <v:stroke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D"/>
    <w:rsid w:val="00001BE1"/>
    <w:rsid w:val="00002FBB"/>
    <w:rsid w:val="00004AB5"/>
    <w:rsid w:val="00020174"/>
    <w:rsid w:val="00023FC3"/>
    <w:rsid w:val="00024F99"/>
    <w:rsid w:val="000317D8"/>
    <w:rsid w:val="00033BB6"/>
    <w:rsid w:val="000568C9"/>
    <w:rsid w:val="000571BA"/>
    <w:rsid w:val="00062F21"/>
    <w:rsid w:val="00070DC2"/>
    <w:rsid w:val="00080464"/>
    <w:rsid w:val="000826DE"/>
    <w:rsid w:val="00085DF6"/>
    <w:rsid w:val="00091E32"/>
    <w:rsid w:val="00096E7C"/>
    <w:rsid w:val="000C0EB5"/>
    <w:rsid w:val="000C69F7"/>
    <w:rsid w:val="00101BB9"/>
    <w:rsid w:val="00103D74"/>
    <w:rsid w:val="00125BEA"/>
    <w:rsid w:val="001426C5"/>
    <w:rsid w:val="00144211"/>
    <w:rsid w:val="0014458B"/>
    <w:rsid w:val="0014592F"/>
    <w:rsid w:val="00150AA1"/>
    <w:rsid w:val="00151B37"/>
    <w:rsid w:val="00155D67"/>
    <w:rsid w:val="00157AFF"/>
    <w:rsid w:val="0016317F"/>
    <w:rsid w:val="00163994"/>
    <w:rsid w:val="00164507"/>
    <w:rsid w:val="00175883"/>
    <w:rsid w:val="00175CE4"/>
    <w:rsid w:val="00185E22"/>
    <w:rsid w:val="00190C51"/>
    <w:rsid w:val="0019108B"/>
    <w:rsid w:val="00192E3E"/>
    <w:rsid w:val="00195ADD"/>
    <w:rsid w:val="001B128E"/>
    <w:rsid w:val="001C5D3F"/>
    <w:rsid w:val="001C7665"/>
    <w:rsid w:val="001D2A68"/>
    <w:rsid w:val="001D6671"/>
    <w:rsid w:val="001E421F"/>
    <w:rsid w:val="001F4C9D"/>
    <w:rsid w:val="001F7A9C"/>
    <w:rsid w:val="00202BAE"/>
    <w:rsid w:val="00212B68"/>
    <w:rsid w:val="00230EB5"/>
    <w:rsid w:val="00230F5F"/>
    <w:rsid w:val="00244057"/>
    <w:rsid w:val="00257FBD"/>
    <w:rsid w:val="00273B69"/>
    <w:rsid w:val="00275616"/>
    <w:rsid w:val="00281816"/>
    <w:rsid w:val="00282F36"/>
    <w:rsid w:val="0028338E"/>
    <w:rsid w:val="002906B4"/>
    <w:rsid w:val="00295B0A"/>
    <w:rsid w:val="00296842"/>
    <w:rsid w:val="00296C3E"/>
    <w:rsid w:val="002A5F7B"/>
    <w:rsid w:val="002B62F8"/>
    <w:rsid w:val="002C10AC"/>
    <w:rsid w:val="002E0ABA"/>
    <w:rsid w:val="002E1FD1"/>
    <w:rsid w:val="002E2BB6"/>
    <w:rsid w:val="00301BA2"/>
    <w:rsid w:val="00305C8B"/>
    <w:rsid w:val="00307297"/>
    <w:rsid w:val="003206A3"/>
    <w:rsid w:val="00320F02"/>
    <w:rsid w:val="003328D9"/>
    <w:rsid w:val="0036576E"/>
    <w:rsid w:val="00370F2C"/>
    <w:rsid w:val="00387702"/>
    <w:rsid w:val="00390BBD"/>
    <w:rsid w:val="00391E20"/>
    <w:rsid w:val="003A24CE"/>
    <w:rsid w:val="003B154D"/>
    <w:rsid w:val="003B2EA8"/>
    <w:rsid w:val="003B3E3E"/>
    <w:rsid w:val="003B4BE4"/>
    <w:rsid w:val="003D07BF"/>
    <w:rsid w:val="003D7098"/>
    <w:rsid w:val="003E3745"/>
    <w:rsid w:val="003E6373"/>
    <w:rsid w:val="00407E32"/>
    <w:rsid w:val="004112B8"/>
    <w:rsid w:val="004538C9"/>
    <w:rsid w:val="004701DF"/>
    <w:rsid w:val="0048671E"/>
    <w:rsid w:val="004870F1"/>
    <w:rsid w:val="00491C42"/>
    <w:rsid w:val="00494BF9"/>
    <w:rsid w:val="004A69D8"/>
    <w:rsid w:val="004B5A30"/>
    <w:rsid w:val="004B7F1F"/>
    <w:rsid w:val="004C1286"/>
    <w:rsid w:val="004D6052"/>
    <w:rsid w:val="004E253D"/>
    <w:rsid w:val="004F3E98"/>
    <w:rsid w:val="004F52FF"/>
    <w:rsid w:val="00511B59"/>
    <w:rsid w:val="005134DC"/>
    <w:rsid w:val="00515A0E"/>
    <w:rsid w:val="00524B1C"/>
    <w:rsid w:val="00531DB3"/>
    <w:rsid w:val="00541191"/>
    <w:rsid w:val="00544529"/>
    <w:rsid w:val="005469C3"/>
    <w:rsid w:val="00553B9F"/>
    <w:rsid w:val="00554E25"/>
    <w:rsid w:val="005768E9"/>
    <w:rsid w:val="0058508D"/>
    <w:rsid w:val="00590483"/>
    <w:rsid w:val="0059161A"/>
    <w:rsid w:val="005A27B6"/>
    <w:rsid w:val="005C6858"/>
    <w:rsid w:val="005C7947"/>
    <w:rsid w:val="005E068D"/>
    <w:rsid w:val="005E0709"/>
    <w:rsid w:val="005E4E27"/>
    <w:rsid w:val="005E7574"/>
    <w:rsid w:val="005F01D6"/>
    <w:rsid w:val="005F3042"/>
    <w:rsid w:val="006017C7"/>
    <w:rsid w:val="006037F1"/>
    <w:rsid w:val="00605B65"/>
    <w:rsid w:val="00621388"/>
    <w:rsid w:val="00625830"/>
    <w:rsid w:val="0063184B"/>
    <w:rsid w:val="00634AD9"/>
    <w:rsid w:val="006554DE"/>
    <w:rsid w:val="00671599"/>
    <w:rsid w:val="00671F37"/>
    <w:rsid w:val="0067743A"/>
    <w:rsid w:val="00695307"/>
    <w:rsid w:val="006A4127"/>
    <w:rsid w:val="006A59A4"/>
    <w:rsid w:val="006A5D9C"/>
    <w:rsid w:val="006B1FF7"/>
    <w:rsid w:val="006B2460"/>
    <w:rsid w:val="006C0B84"/>
    <w:rsid w:val="006C120B"/>
    <w:rsid w:val="006C2749"/>
    <w:rsid w:val="006C303B"/>
    <w:rsid w:val="007269C4"/>
    <w:rsid w:val="00726C48"/>
    <w:rsid w:val="007317EB"/>
    <w:rsid w:val="00744EC3"/>
    <w:rsid w:val="007458ED"/>
    <w:rsid w:val="00747E4C"/>
    <w:rsid w:val="00760E1D"/>
    <w:rsid w:val="00762C0D"/>
    <w:rsid w:val="00765669"/>
    <w:rsid w:val="00777CB3"/>
    <w:rsid w:val="00796A97"/>
    <w:rsid w:val="007A019F"/>
    <w:rsid w:val="007A171D"/>
    <w:rsid w:val="007A23F5"/>
    <w:rsid w:val="007A63AD"/>
    <w:rsid w:val="007D6FCF"/>
    <w:rsid w:val="007E031D"/>
    <w:rsid w:val="007E060A"/>
    <w:rsid w:val="007E123B"/>
    <w:rsid w:val="007E2248"/>
    <w:rsid w:val="007E5257"/>
    <w:rsid w:val="007F47E1"/>
    <w:rsid w:val="007F7505"/>
    <w:rsid w:val="00805116"/>
    <w:rsid w:val="00816498"/>
    <w:rsid w:val="00816FE9"/>
    <w:rsid w:val="0081797E"/>
    <w:rsid w:val="00832346"/>
    <w:rsid w:val="00833A47"/>
    <w:rsid w:val="00836213"/>
    <w:rsid w:val="00841A95"/>
    <w:rsid w:val="008509B5"/>
    <w:rsid w:val="0085272B"/>
    <w:rsid w:val="00870C41"/>
    <w:rsid w:val="00884250"/>
    <w:rsid w:val="008846C1"/>
    <w:rsid w:val="00887AB2"/>
    <w:rsid w:val="00893956"/>
    <w:rsid w:val="00895DC9"/>
    <w:rsid w:val="0089682B"/>
    <w:rsid w:val="008B31BE"/>
    <w:rsid w:val="008B7DD7"/>
    <w:rsid w:val="008C4826"/>
    <w:rsid w:val="008D026F"/>
    <w:rsid w:val="008E5916"/>
    <w:rsid w:val="00902796"/>
    <w:rsid w:val="00920EBE"/>
    <w:rsid w:val="00921563"/>
    <w:rsid w:val="00923E46"/>
    <w:rsid w:val="00925440"/>
    <w:rsid w:val="00942B02"/>
    <w:rsid w:val="009507B8"/>
    <w:rsid w:val="009561DF"/>
    <w:rsid w:val="009845E0"/>
    <w:rsid w:val="0099693C"/>
    <w:rsid w:val="009B0357"/>
    <w:rsid w:val="009B0E77"/>
    <w:rsid w:val="009B5FB1"/>
    <w:rsid w:val="009C0207"/>
    <w:rsid w:val="009C2000"/>
    <w:rsid w:val="009E1AA8"/>
    <w:rsid w:val="009E5F15"/>
    <w:rsid w:val="009F0CC8"/>
    <w:rsid w:val="009F509C"/>
    <w:rsid w:val="009F60B3"/>
    <w:rsid w:val="00A12C3A"/>
    <w:rsid w:val="00A12F56"/>
    <w:rsid w:val="00A17A6C"/>
    <w:rsid w:val="00A37F0B"/>
    <w:rsid w:val="00A45124"/>
    <w:rsid w:val="00A46B3E"/>
    <w:rsid w:val="00A501B0"/>
    <w:rsid w:val="00A82AB4"/>
    <w:rsid w:val="00A8309D"/>
    <w:rsid w:val="00A834B6"/>
    <w:rsid w:val="00A9125D"/>
    <w:rsid w:val="00A940C7"/>
    <w:rsid w:val="00AA7E83"/>
    <w:rsid w:val="00AC50D6"/>
    <w:rsid w:val="00AC58BE"/>
    <w:rsid w:val="00AE0DB6"/>
    <w:rsid w:val="00AF0611"/>
    <w:rsid w:val="00AF379B"/>
    <w:rsid w:val="00B049E0"/>
    <w:rsid w:val="00B159A3"/>
    <w:rsid w:val="00B17144"/>
    <w:rsid w:val="00B467AD"/>
    <w:rsid w:val="00B47E67"/>
    <w:rsid w:val="00B50A73"/>
    <w:rsid w:val="00B53956"/>
    <w:rsid w:val="00B55E9A"/>
    <w:rsid w:val="00B57614"/>
    <w:rsid w:val="00B851EC"/>
    <w:rsid w:val="00B955D5"/>
    <w:rsid w:val="00BA5161"/>
    <w:rsid w:val="00BB1E27"/>
    <w:rsid w:val="00BB25F0"/>
    <w:rsid w:val="00BB750C"/>
    <w:rsid w:val="00BC2AD1"/>
    <w:rsid w:val="00BD00C6"/>
    <w:rsid w:val="00BD618B"/>
    <w:rsid w:val="00BE488B"/>
    <w:rsid w:val="00BF5601"/>
    <w:rsid w:val="00BF6A01"/>
    <w:rsid w:val="00C01258"/>
    <w:rsid w:val="00C12CBC"/>
    <w:rsid w:val="00C172EF"/>
    <w:rsid w:val="00C40921"/>
    <w:rsid w:val="00C409FA"/>
    <w:rsid w:val="00C547F4"/>
    <w:rsid w:val="00C6117C"/>
    <w:rsid w:val="00C62D5A"/>
    <w:rsid w:val="00C9073B"/>
    <w:rsid w:val="00C936AF"/>
    <w:rsid w:val="00C9379E"/>
    <w:rsid w:val="00CA5A1E"/>
    <w:rsid w:val="00CB55C5"/>
    <w:rsid w:val="00CC1748"/>
    <w:rsid w:val="00CC55FA"/>
    <w:rsid w:val="00CC6500"/>
    <w:rsid w:val="00CD2D5F"/>
    <w:rsid w:val="00CD44CC"/>
    <w:rsid w:val="00CD7947"/>
    <w:rsid w:val="00CE2DB3"/>
    <w:rsid w:val="00CF3135"/>
    <w:rsid w:val="00D0423D"/>
    <w:rsid w:val="00D0467C"/>
    <w:rsid w:val="00D22EB1"/>
    <w:rsid w:val="00D239EB"/>
    <w:rsid w:val="00D3732A"/>
    <w:rsid w:val="00D520AC"/>
    <w:rsid w:val="00D56519"/>
    <w:rsid w:val="00D81E85"/>
    <w:rsid w:val="00D86712"/>
    <w:rsid w:val="00D870DC"/>
    <w:rsid w:val="00D9142C"/>
    <w:rsid w:val="00D9534D"/>
    <w:rsid w:val="00D95ABB"/>
    <w:rsid w:val="00DA12B7"/>
    <w:rsid w:val="00DA7137"/>
    <w:rsid w:val="00DD260F"/>
    <w:rsid w:val="00DD3183"/>
    <w:rsid w:val="00DD5F4C"/>
    <w:rsid w:val="00DF13B5"/>
    <w:rsid w:val="00DF2EE3"/>
    <w:rsid w:val="00DF7D61"/>
    <w:rsid w:val="00E0093F"/>
    <w:rsid w:val="00E04BED"/>
    <w:rsid w:val="00E04CF7"/>
    <w:rsid w:val="00E11CD5"/>
    <w:rsid w:val="00E32072"/>
    <w:rsid w:val="00E458EA"/>
    <w:rsid w:val="00E52D7B"/>
    <w:rsid w:val="00E575A3"/>
    <w:rsid w:val="00E603BA"/>
    <w:rsid w:val="00E60A45"/>
    <w:rsid w:val="00E62DCC"/>
    <w:rsid w:val="00E66418"/>
    <w:rsid w:val="00E73159"/>
    <w:rsid w:val="00EB6F51"/>
    <w:rsid w:val="00EC0F81"/>
    <w:rsid w:val="00EC2BCE"/>
    <w:rsid w:val="00ED3163"/>
    <w:rsid w:val="00ED3229"/>
    <w:rsid w:val="00ED599A"/>
    <w:rsid w:val="00EE0903"/>
    <w:rsid w:val="00EE2F20"/>
    <w:rsid w:val="00EF4A35"/>
    <w:rsid w:val="00F02A2C"/>
    <w:rsid w:val="00F03396"/>
    <w:rsid w:val="00F05D67"/>
    <w:rsid w:val="00F0728A"/>
    <w:rsid w:val="00F07CFA"/>
    <w:rsid w:val="00F1330B"/>
    <w:rsid w:val="00F13D8E"/>
    <w:rsid w:val="00F15264"/>
    <w:rsid w:val="00F30F74"/>
    <w:rsid w:val="00F361A7"/>
    <w:rsid w:val="00F524F3"/>
    <w:rsid w:val="00F7558B"/>
    <w:rsid w:val="00F77114"/>
    <w:rsid w:val="00F771C3"/>
    <w:rsid w:val="00F83E56"/>
    <w:rsid w:val="00F93A62"/>
    <w:rsid w:val="00F95F19"/>
    <w:rsid w:val="00FA7196"/>
    <w:rsid w:val="00FB2B18"/>
    <w:rsid w:val="00FC6D31"/>
    <w:rsid w:val="00FD0830"/>
    <w:rsid w:val="00FD5053"/>
    <w:rsid w:val="00FE667E"/>
    <w:rsid w:val="00FE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5]" strokecolor="red">
      <v:fill color="none [1945]"/>
      <v:stroke color="red"/>
    </o:shapedefaults>
    <o:shapelayout v:ext="edit">
      <o:idmap v:ext="edit" data="1"/>
    </o:shapelayout>
  </w:shapeDefaults>
  <w:decimalSymbol w:val="."/>
  <w:listSeparator w:val=","/>
  <w15:docId w15:val="{E12BF42E-C08A-4C9A-920F-4950333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274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7D6FCF"/>
    <w:rPr>
      <w:b/>
      <w:bCs/>
      <w:smallCaps/>
      <w:color w:val="ED7D31" w:themeColor="accent2"/>
      <w:spacing w:val="5"/>
      <w:u w:val="single"/>
    </w:rPr>
  </w:style>
  <w:style w:type="character" w:styleId="Nmerodepgina">
    <w:name w:val="page number"/>
    <w:basedOn w:val="Fuentedeprrafopredeter"/>
    <w:uiPriority w:val="99"/>
    <w:unhideWhenUsed/>
    <w:rsid w:val="001C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0752AD-89E1-40AE-BE74-69ADCE8E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Jesús Israel Ángeles Aguirre</cp:lastModifiedBy>
  <cp:revision>2</cp:revision>
  <cp:lastPrinted>2021-10-13T21:36:00Z</cp:lastPrinted>
  <dcterms:created xsi:type="dcterms:W3CDTF">2022-01-26T17:12:00Z</dcterms:created>
  <dcterms:modified xsi:type="dcterms:W3CDTF">2022-01-26T17:12:00Z</dcterms:modified>
</cp:coreProperties>
</file>