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9D7D6E" w:rsidRDefault="00842083" w:rsidP="00842083">
      <w:pPr>
        <w:shd w:val="clear" w:color="auto" w:fill="FDFCFC"/>
        <w:spacing w:before="100" w:beforeAutospacing="1" w:after="225" w:line="240" w:lineRule="auto"/>
        <w:jc w:val="both"/>
        <w:rPr>
          <w:rFonts w:ascii="Arial" w:eastAsia="Calibri" w:hAnsi="Arial" w:cs="Arial"/>
          <w:b/>
          <w:smallCaps/>
          <w:sz w:val="28"/>
          <w:szCs w:val="28"/>
          <w:lang w:eastAsia="es-MX"/>
        </w:rPr>
      </w:pPr>
      <w:r w:rsidRPr="009D7D6E">
        <w:rPr>
          <w:rFonts w:ascii="Arial" w:eastAsia="Calibri" w:hAnsi="Arial" w:cs="Arial"/>
          <w:b/>
          <w:smallCaps/>
          <w:sz w:val="28"/>
          <w:szCs w:val="28"/>
          <w:lang w:eastAsia="es-MX"/>
        </w:rPr>
        <w:t>LÍDER COORDINADOR DE PROYECTO DE ALTO RIESGO</w:t>
      </w:r>
    </w:p>
    <w:p w:rsidR="009D7D6E" w:rsidRPr="00890C74" w:rsidRDefault="009D7D6E" w:rsidP="009D7D6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A95E1B" w:rsidRDefault="009D7D6E" w:rsidP="009D7D6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D7D6E" w:rsidRPr="00A95E1B" w:rsidRDefault="009D7D6E" w:rsidP="009D7D6E">
      <w:pPr>
        <w:spacing w:after="0" w:line="240" w:lineRule="auto"/>
        <w:rPr>
          <w:rFonts w:ascii="Arial" w:eastAsia="Times New Roman" w:hAnsi="Arial" w:cs="Arial"/>
          <w:smallCaps/>
          <w:sz w:val="24"/>
          <w:szCs w:val="24"/>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00E923B0">
        <w:rPr>
          <w:rFonts w:ascii="Arial" w:eastAsia="Times New Roman" w:hAnsi="Arial" w:cs="Arial"/>
          <w:smallCaps/>
          <w:sz w:val="21"/>
          <w:szCs w:val="21"/>
          <w:lang w:eastAsia="es-MX"/>
        </w:rPr>
        <w:t>i</w:t>
      </w:r>
      <w:r w:rsidRPr="00E923B0">
        <w:rPr>
          <w:rFonts w:ascii="Arial" w:eastAsia="Times New Roman" w:hAnsi="Arial" w:cs="Arial"/>
          <w:smallCaps/>
          <w:sz w:val="21"/>
          <w:szCs w:val="21"/>
          <w:lang w:eastAsia="es-MX"/>
        </w:rPr>
        <w:t>ntegrados por el número de miembros que determine la ley, quienes deberán cumplir los requisitos de elegibilidad establecidos para los regidores;</w:t>
      </w:r>
      <w:r w:rsidRPr="00E923B0">
        <w:rPr>
          <w:rFonts w:ascii="Arial" w:eastAsia="Times New Roman" w:hAnsi="Arial" w:cs="Arial"/>
          <w:smallCaps/>
          <w:sz w:val="21"/>
          <w:szCs w:val="21"/>
          <w:lang w:eastAsia="es-MX"/>
        </w:rPr>
        <w:cr/>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CONSTITUCIÓN POLÍTICA DE LA CIUDAD DE MEXICO</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Artículo 53</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Alcaldías</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A. De la integración, organización y facultades de las alcaldías</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E923B0">
        <w:rPr>
          <w:rFonts w:ascii="Arial" w:eastAsia="Times New Roman" w:hAnsi="Arial" w:cs="Arial"/>
          <w:smallCaps/>
          <w:sz w:val="21"/>
          <w:szCs w:val="21"/>
          <w:lang w:eastAsia="es-MX"/>
        </w:rPr>
        <w:cr/>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B. De las personas titulares de las alcaldías</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3. Las personas titulares de las alcaldías tendrán las siguientes atribuciones:</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a) De manera exclusiva:</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LEY ORGÁNICA DE ALCALDÍAS DE LA CIUDAD DE MÉXICO</w:t>
      </w:r>
      <w:r w:rsidRPr="00E923B0">
        <w:rPr>
          <w:rFonts w:ascii="Arial" w:eastAsia="Times New Roman" w:hAnsi="Arial" w:cs="Arial"/>
          <w:smallCaps/>
          <w:sz w:val="21"/>
          <w:szCs w:val="21"/>
          <w:lang w:eastAsia="es-MX"/>
        </w:rPr>
        <w:br/>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E923B0" w:rsidRDefault="00E923B0"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Las Alcaldías deberán contar por lo menos con las siguientes Unidades Administrativas:</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I. Gobierno;</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II. Asuntos Jurídicos;</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III. Administración;</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IV. Obras y Desarrollo Urbano;</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V. Servicios Urbanos;</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VI. Planeación del Desarrollo;</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VII. Desarrollo Social.</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VIII. Desarrollo y Fomento Económico;</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IX. Protección Civil;</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X. Participación Ciudadana;</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XI. Sustentabilidad;</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XII. Derechos Culturales, Recreativos y Educativos.</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XIII. Fomento a la Equidad de Género;</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br/>
        <w:t>REGLAMENTO INTERIOR DEL PODER EJECUTIVO Y DE LA ADMINISTRACIÓN PÚBLICA DE LA CIUDAD DE MÉXICO</w:t>
      </w:r>
      <w:r w:rsidRPr="00E923B0">
        <w:rPr>
          <w:rFonts w:ascii="Arial" w:eastAsia="Times New Roman" w:hAnsi="Arial" w:cs="Arial"/>
          <w:smallCaps/>
          <w:sz w:val="21"/>
          <w:szCs w:val="21"/>
          <w:lang w:eastAsia="es-MX"/>
        </w:rPr>
        <w:br/>
      </w:r>
      <w:r w:rsidRPr="00E923B0">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 </w:t>
      </w:r>
      <w:r w:rsidRPr="00E923B0">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E923B0">
        <w:rPr>
          <w:rFonts w:ascii="Arial" w:eastAsia="Times New Roman" w:hAnsi="Arial" w:cs="Arial"/>
          <w:smallCaps/>
          <w:sz w:val="21"/>
          <w:szCs w:val="21"/>
          <w:lang w:eastAsia="es-MX"/>
        </w:rPr>
        <w:lastRenderedPageBreak/>
        <w:t>nombramientos del personal que consideren para ocupar un puesto en su estructura orgánica autorizada.</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9D7D6E" w:rsidRPr="00E923B0" w:rsidRDefault="009D7D6E" w:rsidP="00E923B0">
      <w:pPr>
        <w:spacing w:after="0" w:line="240" w:lineRule="auto"/>
        <w:jc w:val="both"/>
        <w:rPr>
          <w:rFonts w:ascii="Arial" w:eastAsia="Times New Roman" w:hAnsi="Arial" w:cs="Arial"/>
          <w:smallCaps/>
          <w:sz w:val="21"/>
          <w:szCs w:val="21"/>
          <w:lang w:eastAsia="es-MX"/>
        </w:rPr>
      </w:pPr>
      <w:r w:rsidRPr="00E923B0">
        <w:rPr>
          <w:rFonts w:ascii="Arial" w:eastAsia="Times New Roman" w:hAnsi="Arial" w:cs="Arial"/>
          <w:smallCaps/>
          <w:sz w:val="21"/>
          <w:szCs w:val="21"/>
          <w:lang w:eastAsia="es-MX"/>
        </w:rPr>
        <w:t>Además y según sea el caso, suscribir las remociones que correspondan, de conformidad con la normatividad aplicable.</w:t>
      </w:r>
    </w:p>
    <w:p w:rsidR="009D7D6E" w:rsidRPr="00E923B0" w:rsidRDefault="009D7D6E" w:rsidP="00E923B0">
      <w:pPr>
        <w:spacing w:after="0" w:line="240" w:lineRule="auto"/>
        <w:jc w:val="both"/>
        <w:rPr>
          <w:rFonts w:ascii="Arial" w:eastAsia="Times New Roman" w:hAnsi="Arial" w:cs="Arial"/>
          <w:smallCaps/>
          <w:sz w:val="21"/>
          <w:szCs w:val="21"/>
          <w:lang w:eastAsia="es-MX"/>
        </w:rPr>
      </w:pPr>
    </w:p>
    <w:p w:rsidR="00A84079" w:rsidRPr="00BB1AB9" w:rsidRDefault="00A84079" w:rsidP="00A84079">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br/>
      </w:r>
      <w:r w:rsidRPr="00BB1AB9">
        <w:rPr>
          <w:rFonts w:ascii="Arial" w:hAnsi="Arial" w:cs="Arial"/>
          <w:sz w:val="24"/>
          <w:szCs w:val="24"/>
        </w:rPr>
        <w:t>LEY DE GESTIÓN INTEGRAL DE RIESGOS Y PROTECCIÓN CIVIL DE LA CIUDAD DE MÉXICO.</w:t>
      </w:r>
      <w:r w:rsidRPr="00BB1AB9">
        <w:rPr>
          <w:rFonts w:ascii="Arial" w:eastAsia="Times New Roman" w:hAnsi="Arial" w:cs="Arial"/>
          <w:smallCaps/>
          <w:sz w:val="24"/>
          <w:szCs w:val="24"/>
          <w:lang w:eastAsia="es-MX"/>
        </w:rPr>
        <w:t xml:space="preserve">                                                                                                                                                                                                                                                            </w:t>
      </w:r>
    </w:p>
    <w:p w:rsidR="00A84079" w:rsidRPr="00BB1AB9" w:rsidRDefault="00A84079" w:rsidP="00A84079">
      <w:pPr>
        <w:shd w:val="clear" w:color="auto" w:fill="FDFCFC"/>
        <w:spacing w:before="100" w:beforeAutospacing="1" w:after="225" w:line="240" w:lineRule="auto"/>
        <w:jc w:val="both"/>
        <w:rPr>
          <w:rFonts w:ascii="Arial" w:eastAsia="Times New Roman" w:hAnsi="Arial" w:cs="Arial"/>
          <w:smallCaps/>
          <w:lang w:eastAsia="es-MX"/>
        </w:rPr>
      </w:pPr>
      <w:r w:rsidRPr="00BB1AB9">
        <w:rPr>
          <w:rFonts w:ascii="Arial" w:eastAsia="Times New Roman" w:hAnsi="Arial" w:cs="Arial"/>
          <w:smallCaps/>
          <w:lang w:eastAsia="es-MX"/>
        </w:rPr>
        <w:t>Artículo 16.-</w:t>
      </w:r>
      <w:r>
        <w:rPr>
          <w:rFonts w:ascii="Arial" w:eastAsia="Times New Roman" w:hAnsi="Arial" w:cs="Arial"/>
          <w:smallCaps/>
          <w:lang w:eastAsia="es-MX"/>
        </w:rPr>
        <w:t xml:space="preserve"> </w:t>
      </w:r>
      <w:r w:rsidRPr="00BB1AB9">
        <w:rPr>
          <w:rFonts w:ascii="Arial" w:eastAsia="Times New Roman" w:hAnsi="Arial" w:cs="Arial"/>
          <w:smallCaps/>
          <w:lang w:eastAsia="es-MX"/>
        </w:rPr>
        <w:t>La función de Gestión Integral de Riesgos y Protección Civil de las Alcaldías se realizará a través de una Unidad de Gestión Integral de Riesgos y  Protección Civil de la Alcaldía que será integrada en la estructura orgánica con rango de dirección y dependerá directamente de la persona titular de la Alcaldía. Al frente de cada Unidad de Gestión Integral de Riesgos y Protección Civil de la Alcaldía estará un titular que en todos los casos deberá contar con un grado de licenciatura y una experiencia comprobable de seis años en materia de Gestión Integral de Riesgos y Protección Civil y deberá contar con certificación expedida por la Escuela Nacional de Protección Civil o por alguna institución académica con los que la Secretaría tenga celebrado convenio. Todo el personal adscrito a la Unidad de Gestión Integral de Riesgos y Protección Civil de la Alcaldía deberá estar contratado bajo un esquema que les garantice contar con Seguridad Social.</w:t>
      </w:r>
    </w:p>
    <w:p w:rsidR="00A84079" w:rsidRPr="00BB1AB9" w:rsidRDefault="00A84079" w:rsidP="00A84079">
      <w:pPr>
        <w:shd w:val="clear" w:color="auto" w:fill="FDFCFC"/>
        <w:spacing w:before="100" w:beforeAutospacing="1" w:after="225" w:line="240" w:lineRule="auto"/>
        <w:jc w:val="both"/>
        <w:rPr>
          <w:rFonts w:ascii="Arial" w:eastAsia="Times New Roman" w:hAnsi="Arial" w:cs="Arial"/>
          <w:smallCaps/>
          <w:lang w:eastAsia="es-MX"/>
        </w:rPr>
      </w:pPr>
      <w:r w:rsidRPr="00BB1AB9">
        <w:rPr>
          <w:rFonts w:ascii="Arial" w:eastAsia="Times New Roman" w:hAnsi="Arial" w:cs="Arial"/>
          <w:smallCaps/>
          <w:lang w:eastAsia="es-MX"/>
        </w:rPr>
        <w:t>Artículo 21.- Las Unidades de Gestión Integral de Riesgos y Protección Civil contarán en su estructura con personal que tenga estudios concluidos de nivel medio superior, conocimientos y experiencia de cuando menos tres años en la materia de acuerdo al diagnóstico de Riesgo de la Alcaldía, salvo el titular de la Unidad, quien quedará a lo dispuesto en el artículo 16, segundo párrafo de la presente Ley. La vigencia del nombramiento del personal de dicha Unidad dependerá, sin perjuicio de lo establecido en otras legislaciones, del cumplimiento de los requisitos de capacitación y experiencia en la materia establecida en esta Ley.</w:t>
      </w:r>
    </w:p>
    <w:p w:rsidR="00A84079" w:rsidRPr="00676674" w:rsidRDefault="00A84079" w:rsidP="00A84079">
      <w:pPr>
        <w:spacing w:after="0" w:line="240" w:lineRule="auto"/>
        <w:rPr>
          <w:rFonts w:ascii="Arial" w:eastAsia="Calibri" w:hAnsi="Arial" w:cs="Arial"/>
          <w:b/>
          <w:smallCaps/>
          <w:sz w:val="24"/>
          <w:szCs w:val="24"/>
          <w:lang w:eastAsia="es-MX"/>
        </w:rPr>
      </w:pPr>
    </w:p>
    <w:p w:rsidR="009D7D6E" w:rsidRPr="00E923B0" w:rsidRDefault="009D7D6E" w:rsidP="00E923B0">
      <w:pPr>
        <w:spacing w:after="0" w:line="240" w:lineRule="auto"/>
        <w:jc w:val="both"/>
        <w:rPr>
          <w:rFonts w:ascii="Arial" w:hAnsi="Arial" w:cs="Arial"/>
          <w:sz w:val="21"/>
          <w:szCs w:val="21"/>
        </w:rPr>
      </w:pPr>
      <w:bookmarkStart w:id="0" w:name="_GoBack"/>
      <w:bookmarkEnd w:id="0"/>
    </w:p>
    <w:sectPr w:rsidR="009D7D6E" w:rsidRPr="00E923B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D2F" w:rsidRDefault="008D2D2F" w:rsidP="00EF0F92">
      <w:pPr>
        <w:spacing w:after="0" w:line="240" w:lineRule="auto"/>
      </w:pPr>
      <w:r>
        <w:separator/>
      </w:r>
    </w:p>
  </w:endnote>
  <w:endnote w:type="continuationSeparator" w:id="0">
    <w:p w:rsidR="008D2D2F" w:rsidRDefault="008D2D2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B0" w:rsidRDefault="00E923B0" w:rsidP="00E923B0">
    <w:pPr>
      <w:pStyle w:val="Piedepgina"/>
    </w:pPr>
    <w:r>
      <w:rPr>
        <w:noProof/>
        <w:lang w:val="es-MX" w:eastAsia="es-MX"/>
      </w:rPr>
      <w:drawing>
        <wp:anchor distT="114300" distB="114300" distL="114300" distR="114300" simplePos="0" relativeHeight="251672576" behindDoc="0" locked="0" layoutInCell="1" allowOverlap="1" wp14:anchorId="4AEB45C0" wp14:editId="3EDFB875">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8D2D2F">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E923B0" w:rsidRDefault="00E923B0" w:rsidP="00E923B0">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E923B0" w:rsidRPr="00195ADD" w:rsidRDefault="00E923B0" w:rsidP="00E923B0">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E923B0" w:rsidRDefault="00E923B0" w:rsidP="00E923B0">
                <w:pPr>
                  <w:jc w:val="both"/>
                </w:pPr>
              </w:p>
            </w:txbxContent>
          </v:textbox>
        </v:shape>
      </w:pict>
    </w:r>
  </w:p>
  <w:p w:rsidR="00AE38C3" w:rsidRPr="00E923B0" w:rsidRDefault="00AE38C3" w:rsidP="00E923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D2F" w:rsidRDefault="008D2D2F" w:rsidP="00EF0F92">
      <w:pPr>
        <w:spacing w:after="0" w:line="240" w:lineRule="auto"/>
      </w:pPr>
      <w:r>
        <w:separator/>
      </w:r>
    </w:p>
  </w:footnote>
  <w:footnote w:type="continuationSeparator" w:id="0">
    <w:p w:rsidR="008D2D2F" w:rsidRDefault="008D2D2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3B0" w:rsidRDefault="00E923B0" w:rsidP="00E923B0">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7ED83ADF" wp14:editId="485772A6">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5DD62AE3" wp14:editId="7C382578">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11027916" wp14:editId="26EC0AA6">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33F"/>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4BE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B02"/>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083"/>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2D2F"/>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1AE"/>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3B5"/>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D7D6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079"/>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11E"/>
    <w:rsid w:val="00E839C8"/>
    <w:rsid w:val="00E84489"/>
    <w:rsid w:val="00E879CE"/>
    <w:rsid w:val="00E90AEE"/>
    <w:rsid w:val="00E90E9B"/>
    <w:rsid w:val="00E916BF"/>
    <w:rsid w:val="00E9179B"/>
    <w:rsid w:val="00E91DEE"/>
    <w:rsid w:val="00E923B0"/>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8AEE4-15EA-407E-9DCC-7FCF7BDC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4</Pages>
  <Words>1456</Words>
  <Characters>8013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2022-04-21T16:57:00Z</dcterms:modified>
</cp:coreProperties>
</file>