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3" w:rsidRDefault="00CD0243" w:rsidP="00CD0243">
      <w:pPr>
        <w:rPr>
          <w:lang w:val="es-MX"/>
        </w:rPr>
      </w:pPr>
      <w:bookmarkStart w:id="0" w:name="_GoBack"/>
      <w:bookmarkEnd w:id="0"/>
    </w:p>
    <w:p w:rsidR="00CD0243" w:rsidRPr="00DC7EFA" w:rsidRDefault="00CD0243" w:rsidP="00DC7EFA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r w:rsidRPr="008610F5">
        <w:rPr>
          <w:rFonts w:ascii="Arial Narrow" w:hAnsi="Arial Narrow"/>
          <w:b/>
          <w:sz w:val="100"/>
          <w:szCs w:val="100"/>
          <w:lang w:val="es-MX"/>
        </w:rPr>
        <w:t xml:space="preserve">No </w:t>
      </w:r>
      <w:r w:rsidR="00DC7EFA">
        <w:rPr>
          <w:rFonts w:ascii="Arial Narrow" w:hAnsi="Arial Narrow"/>
          <w:b/>
          <w:sz w:val="100"/>
          <w:szCs w:val="100"/>
          <w:lang w:val="es-MX"/>
        </w:rPr>
        <w:t>se a</w:t>
      </w:r>
      <w:r w:rsidRPr="008610F5">
        <w:rPr>
          <w:rFonts w:ascii="Arial Narrow" w:hAnsi="Arial Narrow"/>
          <w:b/>
          <w:sz w:val="100"/>
          <w:szCs w:val="100"/>
          <w:lang w:val="es-MX"/>
        </w:rPr>
        <w:t>plica</w:t>
      </w:r>
      <w:r w:rsidR="00DC7EFA">
        <w:rPr>
          <w:rFonts w:ascii="Arial Narrow" w:hAnsi="Arial Narrow"/>
          <w:b/>
          <w:sz w:val="100"/>
          <w:szCs w:val="100"/>
          <w:lang w:val="es-MX"/>
        </w:rPr>
        <w:t>ron</w:t>
      </w:r>
      <w:r>
        <w:rPr>
          <w:rFonts w:ascii="Arial Narrow" w:hAnsi="Arial Narrow"/>
          <w:sz w:val="100"/>
          <w:szCs w:val="100"/>
          <w:lang w:val="es-MX"/>
        </w:rPr>
        <w:t xml:space="preserve"> </w:t>
      </w:r>
      <w:r w:rsidR="00DC7EFA" w:rsidRPr="00DC7EFA">
        <w:rPr>
          <w:rFonts w:ascii="Arial Narrow" w:hAnsi="Arial Narrow"/>
          <w:b/>
          <w:sz w:val="100"/>
          <w:szCs w:val="100"/>
          <w:lang w:val="es-MX"/>
        </w:rPr>
        <w:t>Mecanismos de Participación Ciudadana</w:t>
      </w:r>
      <w:r w:rsidRPr="00DC7EFA">
        <w:rPr>
          <w:rFonts w:ascii="Arial Narrow" w:hAnsi="Arial Narrow"/>
          <w:b/>
          <w:sz w:val="100"/>
          <w:szCs w:val="100"/>
          <w:lang w:val="es-MX"/>
        </w:rPr>
        <w:t>.</w:t>
      </w:r>
    </w:p>
    <w:p w:rsidR="00CD0243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845201" w:rsidRPr="004F586E" w:rsidRDefault="00845201" w:rsidP="00845201">
      <w:pPr>
        <w:jc w:val="center"/>
        <w:rPr>
          <w:rFonts w:ascii="Arial Narrow" w:hAnsi="Arial Narrow"/>
          <w:b/>
          <w:sz w:val="64"/>
          <w:szCs w:val="64"/>
          <w:lang w:val="es-MX"/>
        </w:rPr>
      </w:pPr>
      <w:r w:rsidRPr="004F586E">
        <w:rPr>
          <w:rFonts w:ascii="Arial Narrow" w:hAnsi="Arial Narrow"/>
          <w:b/>
          <w:sz w:val="64"/>
          <w:szCs w:val="64"/>
          <w:lang w:val="es-MX"/>
        </w:rPr>
        <w:t>Sin consulta.</w:t>
      </w:r>
    </w:p>
    <w:p w:rsidR="00845201" w:rsidRDefault="00845201" w:rsidP="00845201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845201" w:rsidRDefault="00845201" w:rsidP="00845201">
      <w:pPr>
        <w:jc w:val="center"/>
        <w:rPr>
          <w:sz w:val="40"/>
        </w:rPr>
      </w:pPr>
      <w:r>
        <w:rPr>
          <w:sz w:val="40"/>
        </w:rPr>
        <w:t>El A</w:t>
      </w:r>
      <w:r w:rsidRPr="006A5941">
        <w:rPr>
          <w:sz w:val="40"/>
        </w:rPr>
        <w:t>rtí</w:t>
      </w:r>
      <w:r>
        <w:rPr>
          <w:sz w:val="40"/>
        </w:rPr>
        <w:t>c</w:t>
      </w:r>
      <w:r w:rsidRPr="006A5941">
        <w:rPr>
          <w:sz w:val="40"/>
        </w:rPr>
        <w:t>ulo 84 segundo párrafo de la Ley de Participación Ciudadana del Distrito Federal, establece que en relación al Presupuesto Participativo será la autoridad para emitir</w:t>
      </w:r>
      <w:r>
        <w:rPr>
          <w:sz w:val="40"/>
        </w:rPr>
        <w:t xml:space="preserve"> la convocatoria correspondiente, el Instituto Electoral del Distrito Federal</w:t>
      </w:r>
      <w:r w:rsidRPr="006A5941">
        <w:rPr>
          <w:sz w:val="40"/>
        </w:rPr>
        <w:t>.</w:t>
      </w:r>
    </w:p>
    <w:p w:rsidR="00845201" w:rsidRDefault="00845201" w:rsidP="00845201">
      <w:pPr>
        <w:jc w:val="center"/>
        <w:rPr>
          <w:sz w:val="40"/>
        </w:rPr>
      </w:pPr>
    </w:p>
    <w:p w:rsidR="00845201" w:rsidRDefault="00845201" w:rsidP="00845201">
      <w:pPr>
        <w:jc w:val="center"/>
        <w:rPr>
          <w:sz w:val="40"/>
        </w:rPr>
      </w:pPr>
      <w:r>
        <w:rPr>
          <w:sz w:val="40"/>
        </w:rPr>
        <w:t xml:space="preserve">Y para garantizar el derecho de acceso a la información se pone a disposición la siguiente liga: </w:t>
      </w:r>
      <w:hyperlink r:id="rId9" w:history="1">
        <w:r w:rsidRPr="00E611E2">
          <w:rPr>
            <w:rStyle w:val="Hipervnculo"/>
            <w:sz w:val="40"/>
          </w:rPr>
          <w:t>http://www.iedf.org.mx/index.php</w:t>
        </w:r>
      </w:hyperlink>
    </w:p>
    <w:p w:rsidR="00CD0243" w:rsidRPr="007C29E5" w:rsidRDefault="00CD0243" w:rsidP="00CD0243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AF6E19" w:rsidRPr="00CD0243" w:rsidRDefault="00AF6E19" w:rsidP="00CD0243"/>
    <w:sectPr w:rsidR="00AF6E19" w:rsidRPr="00CD0243" w:rsidSect="00293ECE">
      <w:headerReference w:type="default" r:id="rId10"/>
      <w:footerReference w:type="default" r:id="rId11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FC" w:rsidRDefault="00E050FC" w:rsidP="00006462">
      <w:r>
        <w:separator/>
      </w:r>
    </w:p>
  </w:endnote>
  <w:endnote w:type="continuationSeparator" w:id="0">
    <w:p w:rsidR="00E050FC" w:rsidRDefault="00E050F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FC" w:rsidRDefault="00E050FC" w:rsidP="00006462">
      <w:r>
        <w:separator/>
      </w:r>
    </w:p>
  </w:footnote>
  <w:footnote w:type="continuationSeparator" w:id="0">
    <w:p w:rsidR="00E050FC" w:rsidRDefault="00E050F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Dirección </w:t>
                          </w:r>
                          <w:r w:rsidR="00CD1755"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General</w:t>
                          </w: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 xml:space="preserve">Dirección </w:t>
                    </w:r>
                    <w:r w:rsidR="00CD1755"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General</w:t>
                    </w: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 xml:space="preserve">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1755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050FC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edf.org.mx/index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0AC2-991F-4C95-AF65-57A460B1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Fabiola Pauletti Ponce</cp:lastModifiedBy>
  <cp:revision>2</cp:revision>
  <cp:lastPrinted>2018-12-12T00:04:00Z</cp:lastPrinted>
  <dcterms:created xsi:type="dcterms:W3CDTF">2019-04-16T17:13:00Z</dcterms:created>
  <dcterms:modified xsi:type="dcterms:W3CDTF">2019-04-16T17:13:00Z</dcterms:modified>
</cp:coreProperties>
</file>